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left="0" w:leftChars="0" w:firstLine="0" w:firstLineChars="0"/>
        <w:jc w:val="both"/>
        <w:textAlignment w:val="center"/>
        <w:rPr>
          <w:rFonts w:ascii="宋体" w:hAnsi="宋体" w:eastAsia="宋体" w:cs="宋体"/>
          <w:b/>
          <w:bCs/>
          <w:sz w:val="32"/>
          <w:szCs w:val="32"/>
        </w:rPr>
      </w:pPr>
      <w:r>
        <w:rPr>
          <w:rFonts w:cs="宋体"/>
          <w:kern w:val="2"/>
          <w:sz w:val="28"/>
          <w:lang w:bidi="ar"/>
        </w:rPr>
        <w:t>附件1</w:t>
      </w:r>
    </w:p>
    <w:p>
      <w:pPr>
        <w:jc w:val="center"/>
        <w:rPr>
          <w:b/>
          <w:bCs/>
          <w:sz w:val="28"/>
          <w:szCs w:val="32"/>
        </w:rPr>
      </w:pPr>
      <w:r>
        <w:rPr>
          <w:rFonts w:hint="eastAsia"/>
          <w:b/>
          <w:bCs/>
          <w:sz w:val="28"/>
          <w:szCs w:val="32"/>
          <w:lang w:eastAsia="zh-CN"/>
        </w:rPr>
        <w:t>2026</w:t>
      </w:r>
      <w:r>
        <w:rPr>
          <w:rFonts w:hint="eastAsia"/>
          <w:b/>
          <w:bCs/>
          <w:sz w:val="28"/>
          <w:szCs w:val="32"/>
        </w:rPr>
        <w:t>年西北政法大学</w:t>
      </w:r>
    </w:p>
    <w:p>
      <w:pPr>
        <w:jc w:val="center"/>
        <w:rPr>
          <w:b/>
          <w:bCs/>
          <w:sz w:val="28"/>
          <w:szCs w:val="32"/>
        </w:rPr>
      </w:pPr>
      <w:r>
        <w:rPr>
          <w:rFonts w:hint="eastAsia"/>
          <w:b/>
          <w:bCs/>
          <w:sz w:val="28"/>
          <w:szCs w:val="32"/>
        </w:rPr>
        <w:t>研究生教育教学改革研究项目立项名单</w:t>
      </w:r>
    </w:p>
    <w:tbl>
      <w:tblPr>
        <w:tblStyle w:val="3"/>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420"/>
        <w:gridCol w:w="4340"/>
        <w:gridCol w:w="1406"/>
        <w:gridCol w:w="1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827" w:type="dxa"/>
            <w:vAlign w:val="center"/>
          </w:tcPr>
          <w:p>
            <w:pPr>
              <w:spacing w:after="0" w:line="240" w:lineRule="auto"/>
              <w:jc w:val="center"/>
              <w:rPr>
                <w:sz w:val="20"/>
                <w:szCs w:val="21"/>
              </w:rPr>
            </w:pPr>
            <w:r>
              <w:rPr>
                <w:rFonts w:hint="eastAsia"/>
                <w:sz w:val="20"/>
                <w:szCs w:val="21"/>
              </w:rPr>
              <w:t>序号</w:t>
            </w:r>
          </w:p>
        </w:tc>
        <w:tc>
          <w:tcPr>
            <w:tcW w:w="1420" w:type="dxa"/>
            <w:vAlign w:val="center"/>
          </w:tcPr>
          <w:p>
            <w:pPr>
              <w:spacing w:after="0" w:line="240" w:lineRule="auto"/>
              <w:jc w:val="center"/>
              <w:rPr>
                <w:sz w:val="20"/>
                <w:szCs w:val="21"/>
              </w:rPr>
            </w:pPr>
            <w:r>
              <w:rPr>
                <w:rFonts w:hint="eastAsia"/>
                <w:sz w:val="20"/>
                <w:szCs w:val="21"/>
              </w:rPr>
              <w:t>项目编号</w:t>
            </w:r>
          </w:p>
        </w:tc>
        <w:tc>
          <w:tcPr>
            <w:tcW w:w="4340" w:type="dxa"/>
            <w:vAlign w:val="center"/>
          </w:tcPr>
          <w:p>
            <w:pPr>
              <w:spacing w:after="0" w:line="240" w:lineRule="auto"/>
              <w:jc w:val="center"/>
              <w:rPr>
                <w:sz w:val="20"/>
                <w:szCs w:val="21"/>
              </w:rPr>
            </w:pPr>
            <w:r>
              <w:rPr>
                <w:rFonts w:hint="eastAsia"/>
                <w:sz w:val="20"/>
                <w:szCs w:val="21"/>
              </w:rPr>
              <w:t>项目名称</w:t>
            </w:r>
          </w:p>
        </w:tc>
        <w:tc>
          <w:tcPr>
            <w:tcW w:w="1406" w:type="dxa"/>
            <w:vAlign w:val="center"/>
          </w:tcPr>
          <w:p>
            <w:pPr>
              <w:spacing w:after="0" w:line="240" w:lineRule="auto"/>
              <w:jc w:val="center"/>
              <w:rPr>
                <w:sz w:val="20"/>
                <w:szCs w:val="21"/>
              </w:rPr>
            </w:pPr>
            <w:r>
              <w:rPr>
                <w:rFonts w:hint="eastAsia"/>
                <w:sz w:val="20"/>
                <w:szCs w:val="21"/>
              </w:rPr>
              <w:t>项目主持人</w:t>
            </w:r>
          </w:p>
        </w:tc>
        <w:tc>
          <w:tcPr>
            <w:tcW w:w="1244" w:type="dxa"/>
            <w:vAlign w:val="center"/>
          </w:tcPr>
          <w:p>
            <w:pPr>
              <w:spacing w:after="0" w:line="240" w:lineRule="auto"/>
              <w:jc w:val="center"/>
              <w:rPr>
                <w:sz w:val="20"/>
                <w:szCs w:val="21"/>
              </w:rPr>
            </w:pPr>
            <w:r>
              <w:rPr>
                <w:rFonts w:hint="eastAsia"/>
                <w:sz w:val="20"/>
                <w:szCs w:val="21"/>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827" w:type="dxa"/>
            <w:vAlign w:val="center"/>
          </w:tcPr>
          <w:p>
            <w:pPr>
              <w:spacing w:after="0" w:line="240" w:lineRule="auto"/>
              <w:jc w:val="center"/>
              <w:rPr>
                <w:sz w:val="20"/>
                <w:szCs w:val="21"/>
              </w:rPr>
            </w:pPr>
            <w:r>
              <w:rPr>
                <w:rFonts w:hint="eastAsia"/>
                <w:sz w:val="18"/>
                <w:szCs w:val="20"/>
              </w:rPr>
              <w:t>1</w:t>
            </w:r>
          </w:p>
        </w:tc>
        <w:tc>
          <w:tcPr>
            <w:tcW w:w="1420" w:type="dxa"/>
            <w:vAlign w:val="center"/>
          </w:tcPr>
          <w:p>
            <w:pPr>
              <w:spacing w:after="0" w:line="240" w:lineRule="auto"/>
              <w:jc w:val="center"/>
              <w:rPr>
                <w:sz w:val="20"/>
                <w:szCs w:val="21"/>
              </w:rPr>
            </w:pPr>
            <w:r>
              <w:rPr>
                <w:rFonts w:hint="eastAsia"/>
                <w:sz w:val="18"/>
                <w:szCs w:val="20"/>
              </w:rPr>
              <w:t>YJZ</w:t>
            </w:r>
            <w:r>
              <w:rPr>
                <w:rFonts w:hint="eastAsia"/>
                <w:sz w:val="18"/>
                <w:szCs w:val="20"/>
                <w:lang w:val="en-US" w:eastAsia="zh-CN"/>
              </w:rPr>
              <w:t>X</w:t>
            </w:r>
            <w:r>
              <w:rPr>
                <w:rFonts w:hint="eastAsia"/>
                <w:sz w:val="18"/>
                <w:szCs w:val="20"/>
              </w:rPr>
              <w:t>202</w:t>
            </w:r>
            <w:r>
              <w:rPr>
                <w:rFonts w:hint="eastAsia"/>
                <w:sz w:val="18"/>
                <w:szCs w:val="20"/>
                <w:lang w:val="en-US" w:eastAsia="zh-CN"/>
              </w:rPr>
              <w:t>6</w:t>
            </w:r>
            <w:r>
              <w:rPr>
                <w:rFonts w:hint="eastAsia"/>
                <w:sz w:val="18"/>
                <w:szCs w:val="20"/>
              </w:rPr>
              <w:t>001</w:t>
            </w:r>
          </w:p>
        </w:tc>
        <w:tc>
          <w:tcPr>
            <w:tcW w:w="4340" w:type="dxa"/>
            <w:vAlign w:val="center"/>
          </w:tcPr>
          <w:p>
            <w:pPr>
              <w:spacing w:after="0" w:line="240" w:lineRule="auto"/>
              <w:jc w:val="center"/>
              <w:rPr>
                <w:sz w:val="20"/>
                <w:szCs w:val="21"/>
              </w:rPr>
            </w:pPr>
            <w:r>
              <w:rPr>
                <w:rFonts w:hint="eastAsia"/>
                <w:sz w:val="18"/>
                <w:szCs w:val="20"/>
              </w:rPr>
              <w:t>法治人才卓越培养计划 2.0 背景下法律硕士专业外语课程的迭代重构与育人创新</w:t>
            </w:r>
          </w:p>
        </w:tc>
        <w:tc>
          <w:tcPr>
            <w:tcW w:w="1406" w:type="dxa"/>
            <w:vAlign w:val="center"/>
          </w:tcPr>
          <w:p>
            <w:pPr>
              <w:spacing w:after="0" w:line="240" w:lineRule="auto"/>
              <w:jc w:val="center"/>
              <w:rPr>
                <w:sz w:val="20"/>
                <w:szCs w:val="21"/>
              </w:rPr>
            </w:pPr>
            <w:r>
              <w:rPr>
                <w:rFonts w:hint="eastAsia"/>
                <w:sz w:val="18"/>
                <w:szCs w:val="20"/>
                <w:highlight w:val="none"/>
              </w:rPr>
              <w:t>刘彭恺</w:t>
            </w:r>
          </w:p>
        </w:tc>
        <w:tc>
          <w:tcPr>
            <w:tcW w:w="1244" w:type="dxa"/>
            <w:vAlign w:val="center"/>
          </w:tcPr>
          <w:p>
            <w:pPr>
              <w:spacing w:after="0" w:line="240" w:lineRule="auto"/>
              <w:jc w:val="center"/>
              <w:rPr>
                <w:sz w:val="20"/>
                <w:szCs w:val="21"/>
              </w:rPr>
            </w:pPr>
            <w:r>
              <w:rPr>
                <w:rFonts w:hint="eastAsia"/>
                <w:sz w:val="18"/>
                <w:szCs w:val="20"/>
                <w:lang w:val="en-US" w:eastAsia="zh-CN"/>
              </w:rPr>
              <w:t>专项</w:t>
            </w:r>
            <w:r>
              <w:rPr>
                <w:rFonts w:hint="eastAsia"/>
                <w:sz w:val="18"/>
                <w:szCs w:val="20"/>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00</w:t>
            </w:r>
            <w:r>
              <w:rPr>
                <w:rFonts w:hint="eastAsia"/>
                <w:sz w:val="18"/>
                <w:szCs w:val="20"/>
                <w:lang w:val="en-US" w:eastAsia="zh-CN"/>
              </w:rPr>
              <w:t>2</w:t>
            </w:r>
          </w:p>
        </w:tc>
        <w:tc>
          <w:tcPr>
            <w:tcW w:w="4340" w:type="dxa"/>
            <w:vAlign w:val="center"/>
          </w:tcPr>
          <w:p>
            <w:pPr>
              <w:spacing w:after="0" w:line="240" w:lineRule="auto"/>
              <w:jc w:val="center"/>
              <w:rPr>
                <w:sz w:val="20"/>
                <w:szCs w:val="21"/>
              </w:rPr>
            </w:pPr>
            <w:r>
              <w:rPr>
                <w:rFonts w:hint="eastAsia"/>
                <w:sz w:val="18"/>
                <w:szCs w:val="20"/>
                <w:lang w:val="en-US" w:eastAsia="zh-CN"/>
              </w:rPr>
              <w:t>科研能力养成导向下马哲经典著作研读“五步教学法”探索</w:t>
            </w:r>
          </w:p>
        </w:tc>
        <w:tc>
          <w:tcPr>
            <w:tcW w:w="1406" w:type="dxa"/>
            <w:vAlign w:val="center"/>
          </w:tcPr>
          <w:p>
            <w:pPr>
              <w:spacing w:after="0" w:line="240" w:lineRule="auto"/>
              <w:jc w:val="center"/>
              <w:rPr>
                <w:sz w:val="20"/>
                <w:szCs w:val="21"/>
              </w:rPr>
            </w:pPr>
            <w:r>
              <w:rPr>
                <w:rFonts w:hint="eastAsia"/>
                <w:sz w:val="18"/>
                <w:szCs w:val="20"/>
                <w:lang w:val="en-US" w:eastAsia="zh-CN"/>
              </w:rPr>
              <w:t>何小勇</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03</w:t>
            </w:r>
          </w:p>
        </w:tc>
        <w:tc>
          <w:tcPr>
            <w:tcW w:w="4340" w:type="dxa"/>
            <w:vAlign w:val="center"/>
          </w:tcPr>
          <w:p>
            <w:pPr>
              <w:spacing w:after="0" w:line="240" w:lineRule="auto"/>
              <w:jc w:val="center"/>
              <w:rPr>
                <w:sz w:val="20"/>
                <w:szCs w:val="21"/>
              </w:rPr>
            </w:pPr>
            <w:r>
              <w:rPr>
                <w:rFonts w:hint="eastAsia"/>
                <w:sz w:val="18"/>
                <w:szCs w:val="20"/>
                <w:lang w:val="en-US" w:eastAsia="zh-CN"/>
              </w:rPr>
              <w:t>新发展理念引领下“财务报表分析”课程价值重塑与内容重构研究</w:t>
            </w:r>
          </w:p>
        </w:tc>
        <w:tc>
          <w:tcPr>
            <w:tcW w:w="1406" w:type="dxa"/>
            <w:vAlign w:val="center"/>
          </w:tcPr>
          <w:p>
            <w:pPr>
              <w:spacing w:after="0" w:line="240" w:lineRule="auto"/>
              <w:jc w:val="center"/>
              <w:rPr>
                <w:sz w:val="20"/>
                <w:szCs w:val="21"/>
              </w:rPr>
            </w:pPr>
            <w:r>
              <w:rPr>
                <w:rFonts w:hint="eastAsia"/>
                <w:sz w:val="18"/>
                <w:szCs w:val="20"/>
                <w:lang w:val="en-US" w:eastAsia="zh-CN"/>
              </w:rPr>
              <w:t>雎华蕾</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4</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04</w:t>
            </w:r>
          </w:p>
        </w:tc>
        <w:tc>
          <w:tcPr>
            <w:tcW w:w="4340" w:type="dxa"/>
            <w:vAlign w:val="center"/>
          </w:tcPr>
          <w:p>
            <w:pPr>
              <w:spacing w:after="0" w:line="240" w:lineRule="auto"/>
              <w:jc w:val="center"/>
              <w:rPr>
                <w:sz w:val="20"/>
                <w:szCs w:val="21"/>
              </w:rPr>
            </w:pPr>
            <w:r>
              <w:rPr>
                <w:rFonts w:hint="eastAsia"/>
                <w:sz w:val="18"/>
                <w:szCs w:val="20"/>
                <w:lang w:val="en-US" w:eastAsia="zh-CN"/>
              </w:rPr>
              <w:t>AI背景下金融专硕课程教学改革研究——以《量化金融分析与风险管理》为例</w:t>
            </w:r>
          </w:p>
        </w:tc>
        <w:tc>
          <w:tcPr>
            <w:tcW w:w="1406" w:type="dxa"/>
            <w:vAlign w:val="center"/>
          </w:tcPr>
          <w:p>
            <w:pPr>
              <w:spacing w:after="0" w:line="240" w:lineRule="auto"/>
              <w:jc w:val="center"/>
              <w:rPr>
                <w:sz w:val="20"/>
                <w:szCs w:val="21"/>
              </w:rPr>
            </w:pPr>
            <w:r>
              <w:rPr>
                <w:rFonts w:hint="eastAsia"/>
                <w:sz w:val="18"/>
                <w:szCs w:val="20"/>
                <w:lang w:val="en-US" w:eastAsia="zh-CN"/>
              </w:rPr>
              <w:t>孙陵霞</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5</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05</w:t>
            </w:r>
          </w:p>
        </w:tc>
        <w:tc>
          <w:tcPr>
            <w:tcW w:w="4340" w:type="dxa"/>
            <w:vAlign w:val="center"/>
          </w:tcPr>
          <w:p>
            <w:pPr>
              <w:spacing w:after="0" w:line="240" w:lineRule="auto"/>
              <w:jc w:val="center"/>
              <w:rPr>
                <w:sz w:val="20"/>
                <w:szCs w:val="21"/>
              </w:rPr>
            </w:pPr>
            <w:r>
              <w:rPr>
                <w:rFonts w:hint="eastAsia"/>
                <w:sz w:val="18"/>
                <w:szCs w:val="20"/>
                <w:lang w:val="en-US" w:eastAsia="zh-CN"/>
              </w:rPr>
              <w:t>中国近现代法制史课程的思想政治理论教育资源研究——以红色法治资源为视角</w:t>
            </w:r>
          </w:p>
        </w:tc>
        <w:tc>
          <w:tcPr>
            <w:tcW w:w="1406" w:type="dxa"/>
            <w:vAlign w:val="center"/>
          </w:tcPr>
          <w:p>
            <w:pPr>
              <w:spacing w:after="0" w:line="240" w:lineRule="auto"/>
              <w:jc w:val="center"/>
              <w:rPr>
                <w:sz w:val="20"/>
                <w:szCs w:val="21"/>
              </w:rPr>
            </w:pPr>
            <w:r>
              <w:rPr>
                <w:rFonts w:hint="eastAsia"/>
                <w:sz w:val="18"/>
                <w:szCs w:val="20"/>
                <w:lang w:val="en-US" w:eastAsia="zh-CN"/>
              </w:rPr>
              <w:t>杨 静</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6</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06</w:t>
            </w:r>
          </w:p>
        </w:tc>
        <w:tc>
          <w:tcPr>
            <w:tcW w:w="4340" w:type="dxa"/>
            <w:vAlign w:val="center"/>
          </w:tcPr>
          <w:p>
            <w:pPr>
              <w:spacing w:after="0" w:line="240" w:lineRule="auto"/>
              <w:jc w:val="center"/>
              <w:rPr>
                <w:sz w:val="20"/>
                <w:szCs w:val="21"/>
              </w:rPr>
            </w:pPr>
            <w:r>
              <w:rPr>
                <w:rFonts w:hint="eastAsia"/>
                <w:sz w:val="18"/>
                <w:szCs w:val="20"/>
                <w:lang w:val="en-US" w:eastAsia="zh-CN"/>
              </w:rPr>
              <w:t>人工智能法学复合型人才培养模式研究</w:t>
            </w:r>
          </w:p>
        </w:tc>
        <w:tc>
          <w:tcPr>
            <w:tcW w:w="1406" w:type="dxa"/>
            <w:vAlign w:val="center"/>
          </w:tcPr>
          <w:p>
            <w:pPr>
              <w:spacing w:after="0" w:line="240" w:lineRule="auto"/>
              <w:jc w:val="center"/>
              <w:rPr>
                <w:sz w:val="20"/>
                <w:szCs w:val="21"/>
              </w:rPr>
            </w:pPr>
            <w:r>
              <w:rPr>
                <w:rFonts w:hint="eastAsia"/>
                <w:sz w:val="18"/>
                <w:szCs w:val="20"/>
                <w:lang w:val="en-US" w:eastAsia="zh-CN"/>
              </w:rPr>
              <w:t>李姝卉</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7</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07</w:t>
            </w:r>
          </w:p>
        </w:tc>
        <w:tc>
          <w:tcPr>
            <w:tcW w:w="4340" w:type="dxa"/>
            <w:vAlign w:val="center"/>
          </w:tcPr>
          <w:p>
            <w:pPr>
              <w:spacing w:after="0" w:line="240" w:lineRule="auto"/>
              <w:jc w:val="center"/>
              <w:rPr>
                <w:sz w:val="20"/>
                <w:szCs w:val="21"/>
              </w:rPr>
            </w:pPr>
            <w:r>
              <w:rPr>
                <w:rFonts w:hint="eastAsia"/>
                <w:sz w:val="18"/>
                <w:szCs w:val="20"/>
                <w:lang w:val="en-US" w:eastAsia="zh-CN"/>
              </w:rPr>
              <w:t>法学硕士研究生习近平法治思想课程内容重构与教学模式创新研究</w:t>
            </w:r>
          </w:p>
        </w:tc>
        <w:tc>
          <w:tcPr>
            <w:tcW w:w="1406" w:type="dxa"/>
            <w:vAlign w:val="center"/>
          </w:tcPr>
          <w:p>
            <w:pPr>
              <w:spacing w:after="0" w:line="240" w:lineRule="auto"/>
              <w:jc w:val="center"/>
              <w:rPr>
                <w:sz w:val="20"/>
                <w:szCs w:val="21"/>
              </w:rPr>
            </w:pPr>
            <w:r>
              <w:rPr>
                <w:rFonts w:hint="eastAsia"/>
                <w:sz w:val="18"/>
                <w:szCs w:val="20"/>
                <w:lang w:val="en-US" w:eastAsia="zh-CN"/>
              </w:rPr>
              <w:t>张永林</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8</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08</w:t>
            </w:r>
          </w:p>
        </w:tc>
        <w:tc>
          <w:tcPr>
            <w:tcW w:w="4340" w:type="dxa"/>
            <w:vAlign w:val="center"/>
          </w:tcPr>
          <w:p>
            <w:pPr>
              <w:spacing w:after="0" w:line="240" w:lineRule="auto"/>
              <w:jc w:val="center"/>
              <w:rPr>
                <w:sz w:val="20"/>
                <w:szCs w:val="21"/>
              </w:rPr>
            </w:pPr>
            <w:r>
              <w:rPr>
                <w:rFonts w:hint="eastAsia"/>
                <w:sz w:val="18"/>
                <w:szCs w:val="20"/>
                <w:lang w:val="en-US" w:eastAsia="zh-CN"/>
              </w:rPr>
              <w:t>中国人权话语体系融入《全球人权治理与涉外法治》课程的“互证式”路径构建研究</w:t>
            </w:r>
          </w:p>
        </w:tc>
        <w:tc>
          <w:tcPr>
            <w:tcW w:w="1406" w:type="dxa"/>
            <w:vAlign w:val="center"/>
          </w:tcPr>
          <w:p>
            <w:pPr>
              <w:spacing w:after="0" w:line="240" w:lineRule="auto"/>
              <w:jc w:val="center"/>
              <w:rPr>
                <w:sz w:val="20"/>
                <w:szCs w:val="21"/>
              </w:rPr>
            </w:pPr>
            <w:r>
              <w:rPr>
                <w:rFonts w:hint="eastAsia"/>
                <w:sz w:val="18"/>
                <w:szCs w:val="20"/>
                <w:lang w:val="en-US" w:eastAsia="zh-CN"/>
              </w:rPr>
              <w:t>李荣荣</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827" w:type="dxa"/>
            <w:vAlign w:val="center"/>
          </w:tcPr>
          <w:p>
            <w:pPr>
              <w:spacing w:after="0" w:line="240" w:lineRule="auto"/>
              <w:jc w:val="center"/>
              <w:rPr>
                <w:sz w:val="20"/>
                <w:szCs w:val="21"/>
              </w:rPr>
            </w:pPr>
            <w:r>
              <w:rPr>
                <w:rFonts w:hint="eastAsia"/>
                <w:sz w:val="18"/>
                <w:szCs w:val="20"/>
              </w:rPr>
              <w:t>9</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09</w:t>
            </w:r>
          </w:p>
        </w:tc>
        <w:tc>
          <w:tcPr>
            <w:tcW w:w="4340" w:type="dxa"/>
            <w:vAlign w:val="center"/>
          </w:tcPr>
          <w:p>
            <w:pPr>
              <w:spacing w:after="0" w:line="240" w:lineRule="auto"/>
              <w:jc w:val="center"/>
              <w:rPr>
                <w:sz w:val="20"/>
                <w:szCs w:val="21"/>
              </w:rPr>
            </w:pPr>
            <w:r>
              <w:rPr>
                <w:rFonts w:hint="eastAsia"/>
                <w:sz w:val="18"/>
                <w:szCs w:val="20"/>
                <w:lang w:val="en-US" w:eastAsia="zh-CN"/>
              </w:rPr>
              <w:t>《学位法》视域下法学研究生学位论文质量争议的多元化解机制构建</w:t>
            </w:r>
          </w:p>
        </w:tc>
        <w:tc>
          <w:tcPr>
            <w:tcW w:w="1406" w:type="dxa"/>
            <w:vAlign w:val="center"/>
          </w:tcPr>
          <w:p>
            <w:pPr>
              <w:spacing w:after="0" w:line="240" w:lineRule="auto"/>
              <w:jc w:val="center"/>
              <w:rPr>
                <w:sz w:val="20"/>
                <w:szCs w:val="21"/>
              </w:rPr>
            </w:pPr>
            <w:r>
              <w:rPr>
                <w:rFonts w:hint="eastAsia"/>
                <w:sz w:val="18"/>
                <w:szCs w:val="20"/>
                <w:lang w:val="en-US" w:eastAsia="zh-CN"/>
              </w:rPr>
              <w:t>董青梅</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10</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10</w:t>
            </w:r>
          </w:p>
        </w:tc>
        <w:tc>
          <w:tcPr>
            <w:tcW w:w="4340" w:type="dxa"/>
            <w:vAlign w:val="center"/>
          </w:tcPr>
          <w:p>
            <w:pPr>
              <w:spacing w:after="0" w:line="240" w:lineRule="auto"/>
              <w:jc w:val="center"/>
              <w:rPr>
                <w:sz w:val="20"/>
                <w:szCs w:val="21"/>
              </w:rPr>
            </w:pPr>
            <w:r>
              <w:rPr>
                <w:rFonts w:hint="eastAsia"/>
                <w:sz w:val="18"/>
                <w:szCs w:val="20"/>
                <w:lang w:val="en-US" w:eastAsia="zh-CN"/>
              </w:rPr>
              <w:t>《陕甘宁边区法制史》研究生教学中的红色法治文化传承研究</w:t>
            </w:r>
          </w:p>
        </w:tc>
        <w:tc>
          <w:tcPr>
            <w:tcW w:w="1406" w:type="dxa"/>
            <w:vAlign w:val="center"/>
          </w:tcPr>
          <w:p>
            <w:pPr>
              <w:spacing w:after="0" w:line="240" w:lineRule="auto"/>
              <w:jc w:val="center"/>
              <w:rPr>
                <w:sz w:val="20"/>
                <w:szCs w:val="21"/>
              </w:rPr>
            </w:pPr>
            <w:r>
              <w:rPr>
                <w:rFonts w:hint="eastAsia"/>
                <w:sz w:val="18"/>
                <w:szCs w:val="20"/>
                <w:lang w:val="en-US" w:eastAsia="zh-CN"/>
              </w:rPr>
              <w:t>宋 鋆</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11</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11</w:t>
            </w:r>
          </w:p>
        </w:tc>
        <w:tc>
          <w:tcPr>
            <w:tcW w:w="4340" w:type="dxa"/>
            <w:vAlign w:val="center"/>
          </w:tcPr>
          <w:p>
            <w:pPr>
              <w:spacing w:after="0" w:line="240" w:lineRule="auto"/>
              <w:jc w:val="center"/>
              <w:rPr>
                <w:sz w:val="20"/>
                <w:szCs w:val="21"/>
              </w:rPr>
            </w:pPr>
            <w:r>
              <w:rPr>
                <w:rFonts w:hint="eastAsia"/>
                <w:sz w:val="18"/>
                <w:szCs w:val="20"/>
                <w:lang w:val="en-US" w:eastAsia="zh-CN"/>
              </w:rPr>
              <w:t>红色法治电影融入法治文化专业课程思政的理论和实践探索</w:t>
            </w:r>
          </w:p>
        </w:tc>
        <w:tc>
          <w:tcPr>
            <w:tcW w:w="1406" w:type="dxa"/>
            <w:vAlign w:val="center"/>
          </w:tcPr>
          <w:p>
            <w:pPr>
              <w:spacing w:after="0" w:line="240" w:lineRule="auto"/>
              <w:jc w:val="center"/>
              <w:rPr>
                <w:sz w:val="20"/>
                <w:szCs w:val="21"/>
              </w:rPr>
            </w:pPr>
            <w:r>
              <w:rPr>
                <w:rFonts w:hint="eastAsia"/>
                <w:sz w:val="18"/>
                <w:szCs w:val="20"/>
                <w:lang w:val="en-US" w:eastAsia="zh-CN"/>
              </w:rPr>
              <w:t>王金霞</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12</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12</w:t>
            </w:r>
          </w:p>
        </w:tc>
        <w:tc>
          <w:tcPr>
            <w:tcW w:w="4340" w:type="dxa"/>
            <w:vAlign w:val="center"/>
          </w:tcPr>
          <w:p>
            <w:pPr>
              <w:spacing w:after="0" w:line="240" w:lineRule="auto"/>
              <w:jc w:val="center"/>
              <w:rPr>
                <w:sz w:val="20"/>
                <w:szCs w:val="21"/>
              </w:rPr>
            </w:pPr>
            <w:r>
              <w:rPr>
                <w:rFonts w:hint="eastAsia"/>
                <w:sz w:val="18"/>
                <w:szCs w:val="20"/>
                <w:lang w:val="en-US" w:eastAsia="zh-CN"/>
              </w:rPr>
              <w:t>涉外法治建设背景下行政法教学改革路径研究</w:t>
            </w:r>
          </w:p>
        </w:tc>
        <w:tc>
          <w:tcPr>
            <w:tcW w:w="1406" w:type="dxa"/>
            <w:vAlign w:val="center"/>
          </w:tcPr>
          <w:p>
            <w:pPr>
              <w:spacing w:after="0" w:line="240" w:lineRule="auto"/>
              <w:jc w:val="center"/>
              <w:rPr>
                <w:sz w:val="20"/>
                <w:szCs w:val="21"/>
              </w:rPr>
            </w:pPr>
            <w:r>
              <w:rPr>
                <w:rFonts w:hint="eastAsia"/>
                <w:sz w:val="18"/>
                <w:szCs w:val="20"/>
                <w:lang w:val="en-US" w:eastAsia="zh-CN"/>
              </w:rPr>
              <w:t>李龙贤</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827" w:type="dxa"/>
            <w:vAlign w:val="center"/>
          </w:tcPr>
          <w:p>
            <w:pPr>
              <w:spacing w:after="0" w:line="240" w:lineRule="auto"/>
              <w:jc w:val="center"/>
              <w:rPr>
                <w:sz w:val="20"/>
                <w:szCs w:val="21"/>
              </w:rPr>
            </w:pPr>
            <w:r>
              <w:rPr>
                <w:rFonts w:hint="eastAsia"/>
                <w:sz w:val="18"/>
                <w:szCs w:val="20"/>
              </w:rPr>
              <w:t>13</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13</w:t>
            </w:r>
          </w:p>
        </w:tc>
        <w:tc>
          <w:tcPr>
            <w:tcW w:w="4340" w:type="dxa"/>
            <w:vAlign w:val="center"/>
          </w:tcPr>
          <w:p>
            <w:pPr>
              <w:spacing w:after="0" w:line="240" w:lineRule="auto"/>
              <w:jc w:val="center"/>
              <w:rPr>
                <w:sz w:val="20"/>
                <w:szCs w:val="21"/>
              </w:rPr>
            </w:pPr>
            <w:r>
              <w:rPr>
                <w:rFonts w:hint="eastAsia"/>
                <w:sz w:val="18"/>
                <w:szCs w:val="20"/>
                <w:lang w:val="en-US" w:eastAsia="zh-CN"/>
              </w:rPr>
              <w:t>“党建铸魂、纪法强基、实践赋能”：纪检监察学研究生课程体系建设研究</w:t>
            </w:r>
          </w:p>
        </w:tc>
        <w:tc>
          <w:tcPr>
            <w:tcW w:w="1406" w:type="dxa"/>
            <w:vAlign w:val="center"/>
          </w:tcPr>
          <w:p>
            <w:pPr>
              <w:spacing w:after="0" w:line="240" w:lineRule="auto"/>
              <w:jc w:val="center"/>
              <w:rPr>
                <w:sz w:val="20"/>
                <w:szCs w:val="21"/>
              </w:rPr>
            </w:pPr>
            <w:r>
              <w:rPr>
                <w:rFonts w:hint="eastAsia"/>
                <w:sz w:val="18"/>
                <w:szCs w:val="20"/>
                <w:lang w:val="en-US" w:eastAsia="zh-CN"/>
              </w:rPr>
              <w:t>吴 腾</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14</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01</w:t>
            </w:r>
            <w:r>
              <w:rPr>
                <w:rFonts w:hint="eastAsia"/>
                <w:sz w:val="18"/>
                <w:szCs w:val="20"/>
                <w:lang w:val="en-US" w:eastAsia="zh-CN"/>
              </w:rPr>
              <w:t>4</w:t>
            </w:r>
          </w:p>
        </w:tc>
        <w:tc>
          <w:tcPr>
            <w:tcW w:w="4340" w:type="dxa"/>
            <w:vAlign w:val="center"/>
          </w:tcPr>
          <w:p>
            <w:pPr>
              <w:spacing w:after="0" w:line="240" w:lineRule="auto"/>
              <w:jc w:val="center"/>
              <w:rPr>
                <w:sz w:val="20"/>
                <w:szCs w:val="21"/>
              </w:rPr>
            </w:pPr>
            <w:r>
              <w:rPr>
                <w:rFonts w:hint="eastAsia"/>
                <w:sz w:val="18"/>
                <w:szCs w:val="20"/>
                <w:lang w:val="en-US" w:eastAsia="zh-CN"/>
              </w:rPr>
              <w:t>陕甘宁边区廉洁司法经验融入纪检监察人才培养的路径研究</w:t>
            </w:r>
          </w:p>
        </w:tc>
        <w:tc>
          <w:tcPr>
            <w:tcW w:w="1406" w:type="dxa"/>
            <w:vAlign w:val="center"/>
          </w:tcPr>
          <w:p>
            <w:pPr>
              <w:spacing w:after="0" w:line="240" w:lineRule="auto"/>
              <w:jc w:val="center"/>
              <w:rPr>
                <w:sz w:val="20"/>
                <w:szCs w:val="21"/>
              </w:rPr>
            </w:pPr>
            <w:r>
              <w:rPr>
                <w:rFonts w:hint="eastAsia"/>
                <w:sz w:val="18"/>
                <w:szCs w:val="20"/>
                <w:lang w:val="en-US" w:eastAsia="zh-CN"/>
              </w:rPr>
              <w:t>徐 翔</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15</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15</w:t>
            </w:r>
          </w:p>
        </w:tc>
        <w:tc>
          <w:tcPr>
            <w:tcW w:w="4340" w:type="dxa"/>
            <w:vAlign w:val="center"/>
          </w:tcPr>
          <w:p>
            <w:pPr>
              <w:spacing w:after="0" w:line="240" w:lineRule="auto"/>
              <w:jc w:val="center"/>
              <w:rPr>
                <w:sz w:val="20"/>
                <w:szCs w:val="21"/>
              </w:rPr>
            </w:pPr>
            <w:r>
              <w:rPr>
                <w:rFonts w:hint="eastAsia"/>
                <w:sz w:val="18"/>
                <w:szCs w:val="20"/>
                <w:lang w:val="en-US" w:eastAsia="zh-CN"/>
              </w:rPr>
              <w:t>研究生课程思政元素的类型化挖掘与分类融入研究——以《行政诉讼法学》为例</w:t>
            </w:r>
          </w:p>
        </w:tc>
        <w:tc>
          <w:tcPr>
            <w:tcW w:w="1406" w:type="dxa"/>
            <w:vAlign w:val="center"/>
          </w:tcPr>
          <w:p>
            <w:pPr>
              <w:spacing w:after="0" w:line="240" w:lineRule="auto"/>
              <w:jc w:val="center"/>
              <w:rPr>
                <w:sz w:val="20"/>
                <w:szCs w:val="21"/>
              </w:rPr>
            </w:pPr>
            <w:r>
              <w:rPr>
                <w:rFonts w:hint="eastAsia"/>
                <w:sz w:val="18"/>
                <w:szCs w:val="20"/>
                <w:lang w:val="en-US" w:eastAsia="zh-CN"/>
              </w:rPr>
              <w:t>牟苑双</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16</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16</w:t>
            </w:r>
          </w:p>
        </w:tc>
        <w:tc>
          <w:tcPr>
            <w:tcW w:w="4340" w:type="dxa"/>
            <w:vAlign w:val="center"/>
          </w:tcPr>
          <w:p>
            <w:pPr>
              <w:spacing w:after="0" w:line="240" w:lineRule="auto"/>
              <w:jc w:val="center"/>
              <w:rPr>
                <w:sz w:val="20"/>
                <w:szCs w:val="21"/>
              </w:rPr>
            </w:pPr>
            <w:r>
              <w:rPr>
                <w:rFonts w:hint="eastAsia"/>
                <w:sz w:val="18"/>
                <w:szCs w:val="20"/>
                <w:lang w:val="en-US" w:eastAsia="zh-CN"/>
              </w:rPr>
              <w:t>科研平台赋能下的复合型、应用型行政法治人才培养模式创新研究</w:t>
            </w:r>
          </w:p>
        </w:tc>
        <w:tc>
          <w:tcPr>
            <w:tcW w:w="1406" w:type="dxa"/>
            <w:vAlign w:val="center"/>
          </w:tcPr>
          <w:p>
            <w:pPr>
              <w:spacing w:after="0" w:line="240" w:lineRule="auto"/>
              <w:jc w:val="center"/>
              <w:rPr>
                <w:sz w:val="20"/>
                <w:szCs w:val="21"/>
              </w:rPr>
            </w:pPr>
            <w:r>
              <w:rPr>
                <w:rFonts w:hint="eastAsia"/>
                <w:sz w:val="18"/>
                <w:szCs w:val="20"/>
                <w:lang w:val="en-US" w:eastAsia="zh-CN"/>
              </w:rPr>
              <w:t>杨思怡</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827" w:type="dxa"/>
            <w:vAlign w:val="center"/>
          </w:tcPr>
          <w:p>
            <w:pPr>
              <w:spacing w:after="0" w:line="240" w:lineRule="auto"/>
              <w:jc w:val="center"/>
              <w:rPr>
                <w:sz w:val="20"/>
                <w:szCs w:val="21"/>
              </w:rPr>
            </w:pPr>
            <w:r>
              <w:rPr>
                <w:rFonts w:hint="eastAsia"/>
                <w:sz w:val="18"/>
                <w:szCs w:val="20"/>
              </w:rPr>
              <w:t>17</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17</w:t>
            </w:r>
          </w:p>
        </w:tc>
        <w:tc>
          <w:tcPr>
            <w:tcW w:w="4340" w:type="dxa"/>
            <w:vAlign w:val="center"/>
          </w:tcPr>
          <w:p>
            <w:pPr>
              <w:spacing w:after="0" w:line="240" w:lineRule="auto"/>
              <w:jc w:val="center"/>
              <w:rPr>
                <w:sz w:val="20"/>
                <w:szCs w:val="21"/>
              </w:rPr>
            </w:pPr>
            <w:r>
              <w:rPr>
                <w:rFonts w:hint="eastAsia"/>
                <w:sz w:val="18"/>
                <w:szCs w:val="20"/>
                <w:lang w:val="en-US" w:eastAsia="zh-CN"/>
              </w:rPr>
              <w:t>习近平法治思想融入研究生纪检监察课程思政路径研究——以法律硕士（纪检监察研究方向）廉政学课程建设为例</w:t>
            </w:r>
          </w:p>
        </w:tc>
        <w:tc>
          <w:tcPr>
            <w:tcW w:w="1406" w:type="dxa"/>
            <w:vAlign w:val="center"/>
          </w:tcPr>
          <w:p>
            <w:pPr>
              <w:spacing w:after="0" w:line="240" w:lineRule="auto"/>
              <w:jc w:val="center"/>
              <w:rPr>
                <w:sz w:val="20"/>
                <w:szCs w:val="21"/>
              </w:rPr>
            </w:pPr>
            <w:r>
              <w:rPr>
                <w:rFonts w:hint="eastAsia"/>
                <w:sz w:val="18"/>
                <w:szCs w:val="20"/>
                <w:lang w:val="en-US" w:eastAsia="zh-CN"/>
              </w:rPr>
              <w:t>乔 良</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18</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18</w:t>
            </w:r>
          </w:p>
        </w:tc>
        <w:tc>
          <w:tcPr>
            <w:tcW w:w="4340" w:type="dxa"/>
            <w:vAlign w:val="center"/>
          </w:tcPr>
          <w:p>
            <w:pPr>
              <w:spacing w:after="0" w:line="240" w:lineRule="auto"/>
              <w:jc w:val="center"/>
              <w:rPr>
                <w:sz w:val="20"/>
                <w:szCs w:val="21"/>
              </w:rPr>
            </w:pPr>
            <w:r>
              <w:rPr>
                <w:rFonts w:hint="eastAsia"/>
                <w:sz w:val="18"/>
                <w:szCs w:val="20"/>
                <w:lang w:val="en-US" w:eastAsia="zh-CN"/>
              </w:rPr>
              <w:t>以实践导向的检察人才协同培养机制研究</w:t>
            </w:r>
          </w:p>
        </w:tc>
        <w:tc>
          <w:tcPr>
            <w:tcW w:w="1406" w:type="dxa"/>
            <w:vAlign w:val="center"/>
          </w:tcPr>
          <w:p>
            <w:pPr>
              <w:spacing w:after="0" w:line="240" w:lineRule="auto"/>
              <w:jc w:val="center"/>
              <w:rPr>
                <w:sz w:val="20"/>
                <w:szCs w:val="21"/>
              </w:rPr>
            </w:pPr>
            <w:r>
              <w:rPr>
                <w:rFonts w:hint="eastAsia"/>
                <w:sz w:val="18"/>
                <w:szCs w:val="20"/>
                <w:lang w:val="en-US" w:eastAsia="zh-CN"/>
              </w:rPr>
              <w:t>安军宇</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19</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19</w:t>
            </w:r>
          </w:p>
        </w:tc>
        <w:tc>
          <w:tcPr>
            <w:tcW w:w="4340" w:type="dxa"/>
            <w:vAlign w:val="center"/>
          </w:tcPr>
          <w:p>
            <w:pPr>
              <w:spacing w:after="0" w:line="240" w:lineRule="auto"/>
              <w:jc w:val="center"/>
              <w:rPr>
                <w:sz w:val="20"/>
                <w:szCs w:val="21"/>
              </w:rPr>
            </w:pPr>
            <w:r>
              <w:rPr>
                <w:rFonts w:hint="eastAsia"/>
                <w:sz w:val="18"/>
                <w:szCs w:val="20"/>
                <w:lang w:val="en-US" w:eastAsia="zh-CN"/>
              </w:rPr>
              <w:t>涉“一带一路”营商环境法治人才培养中研究生实践教学的探索与优化研究</w:t>
            </w:r>
          </w:p>
        </w:tc>
        <w:tc>
          <w:tcPr>
            <w:tcW w:w="1406" w:type="dxa"/>
            <w:vAlign w:val="center"/>
          </w:tcPr>
          <w:p>
            <w:pPr>
              <w:spacing w:after="0" w:line="240" w:lineRule="auto"/>
              <w:jc w:val="center"/>
              <w:rPr>
                <w:sz w:val="20"/>
                <w:szCs w:val="21"/>
              </w:rPr>
            </w:pPr>
            <w:r>
              <w:rPr>
                <w:rFonts w:hint="eastAsia"/>
                <w:sz w:val="18"/>
                <w:szCs w:val="20"/>
                <w:lang w:val="en-US" w:eastAsia="zh-CN"/>
              </w:rPr>
              <w:t>贾同乐</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20</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20</w:t>
            </w:r>
          </w:p>
        </w:tc>
        <w:tc>
          <w:tcPr>
            <w:tcW w:w="4340" w:type="dxa"/>
            <w:vAlign w:val="center"/>
          </w:tcPr>
          <w:p>
            <w:pPr>
              <w:spacing w:after="0" w:line="240" w:lineRule="auto"/>
              <w:jc w:val="center"/>
              <w:rPr>
                <w:sz w:val="20"/>
                <w:szCs w:val="21"/>
              </w:rPr>
            </w:pPr>
            <w:r>
              <w:rPr>
                <w:rFonts w:hint="eastAsia"/>
                <w:sz w:val="18"/>
                <w:szCs w:val="20"/>
                <w:lang w:val="en-US" w:eastAsia="zh-CN"/>
              </w:rPr>
              <w:t>“移动课堂”在法治化营商环境教学中的创新与实践</w:t>
            </w:r>
          </w:p>
        </w:tc>
        <w:tc>
          <w:tcPr>
            <w:tcW w:w="1406" w:type="dxa"/>
            <w:vAlign w:val="center"/>
          </w:tcPr>
          <w:p>
            <w:pPr>
              <w:spacing w:after="0" w:line="240" w:lineRule="auto"/>
              <w:jc w:val="center"/>
              <w:rPr>
                <w:sz w:val="20"/>
                <w:szCs w:val="21"/>
              </w:rPr>
            </w:pPr>
            <w:r>
              <w:rPr>
                <w:rFonts w:hint="eastAsia"/>
                <w:sz w:val="18"/>
                <w:szCs w:val="20"/>
                <w:lang w:val="en-US" w:eastAsia="zh-CN"/>
              </w:rPr>
              <w:t>王莹莹</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21</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21</w:t>
            </w:r>
          </w:p>
        </w:tc>
        <w:tc>
          <w:tcPr>
            <w:tcW w:w="4340" w:type="dxa"/>
            <w:vAlign w:val="center"/>
          </w:tcPr>
          <w:p>
            <w:pPr>
              <w:spacing w:after="0" w:line="240" w:lineRule="auto"/>
              <w:jc w:val="center"/>
              <w:rPr>
                <w:sz w:val="20"/>
                <w:szCs w:val="21"/>
              </w:rPr>
            </w:pPr>
            <w:r>
              <w:rPr>
                <w:rFonts w:hint="eastAsia"/>
                <w:sz w:val="18"/>
                <w:szCs w:val="20"/>
                <w:lang w:val="en-US" w:eastAsia="zh-CN"/>
              </w:rPr>
              <w:t>鉴定式案例分析方法教学：法律解释与适用</w:t>
            </w:r>
          </w:p>
        </w:tc>
        <w:tc>
          <w:tcPr>
            <w:tcW w:w="1406" w:type="dxa"/>
            <w:vAlign w:val="center"/>
          </w:tcPr>
          <w:p>
            <w:pPr>
              <w:spacing w:after="0" w:line="240" w:lineRule="auto"/>
              <w:jc w:val="center"/>
              <w:rPr>
                <w:sz w:val="20"/>
                <w:szCs w:val="21"/>
              </w:rPr>
            </w:pPr>
            <w:r>
              <w:rPr>
                <w:rFonts w:hint="eastAsia"/>
                <w:sz w:val="18"/>
                <w:szCs w:val="20"/>
                <w:lang w:val="en-US" w:eastAsia="zh-CN"/>
              </w:rPr>
              <w:t>朱时敏</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22</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rPr>
              <w:t>2</w:t>
            </w:r>
            <w:r>
              <w:rPr>
                <w:rFonts w:hint="eastAsia"/>
                <w:sz w:val="18"/>
                <w:szCs w:val="20"/>
                <w:lang w:val="en-US" w:eastAsia="zh-CN"/>
              </w:rPr>
              <w:t>2</w:t>
            </w:r>
          </w:p>
        </w:tc>
        <w:tc>
          <w:tcPr>
            <w:tcW w:w="4340" w:type="dxa"/>
            <w:vAlign w:val="center"/>
          </w:tcPr>
          <w:p>
            <w:pPr>
              <w:spacing w:after="0" w:line="240" w:lineRule="auto"/>
              <w:jc w:val="center"/>
              <w:rPr>
                <w:sz w:val="20"/>
                <w:szCs w:val="21"/>
              </w:rPr>
            </w:pPr>
            <w:r>
              <w:rPr>
                <w:rFonts w:hint="eastAsia"/>
                <w:sz w:val="18"/>
                <w:szCs w:val="20"/>
                <w:lang w:val="en-US" w:eastAsia="zh-CN"/>
              </w:rPr>
              <w:t>“一带一路”背景下西北地区研究生国际胜任力培养路径研究</w:t>
            </w:r>
          </w:p>
        </w:tc>
        <w:tc>
          <w:tcPr>
            <w:tcW w:w="1406" w:type="dxa"/>
            <w:vAlign w:val="center"/>
          </w:tcPr>
          <w:p>
            <w:pPr>
              <w:spacing w:after="0" w:line="240" w:lineRule="auto"/>
              <w:jc w:val="center"/>
              <w:rPr>
                <w:sz w:val="20"/>
                <w:szCs w:val="21"/>
              </w:rPr>
            </w:pPr>
            <w:r>
              <w:rPr>
                <w:rFonts w:hint="eastAsia"/>
                <w:sz w:val="18"/>
                <w:szCs w:val="20"/>
                <w:lang w:val="en-US" w:eastAsia="zh-CN"/>
              </w:rPr>
              <w:t>张光耀</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23</w:t>
            </w:r>
          </w:p>
        </w:tc>
        <w:tc>
          <w:tcPr>
            <w:tcW w:w="1420" w:type="dxa"/>
            <w:vAlign w:val="center"/>
          </w:tcPr>
          <w:p>
            <w:pPr>
              <w:spacing w:after="0" w:line="240" w:lineRule="auto"/>
              <w:jc w:val="center"/>
              <w:rPr>
                <w:sz w:val="20"/>
                <w:szCs w:val="21"/>
              </w:rPr>
            </w:pPr>
            <w:r>
              <w:rPr>
                <w:sz w:val="18"/>
                <w:szCs w:val="20"/>
                <w:highlight w:val="none"/>
              </w:rPr>
              <w:t>YJZC</w:t>
            </w:r>
            <w:r>
              <w:rPr>
                <w:rFonts w:hint="eastAsia"/>
                <w:sz w:val="18"/>
                <w:szCs w:val="20"/>
                <w:highlight w:val="none"/>
                <w:lang w:eastAsia="zh-CN"/>
              </w:rPr>
              <w:t>2026</w:t>
            </w:r>
            <w:r>
              <w:rPr>
                <w:sz w:val="18"/>
                <w:szCs w:val="20"/>
                <w:highlight w:val="none"/>
              </w:rPr>
              <w:t>0</w:t>
            </w:r>
            <w:r>
              <w:rPr>
                <w:rFonts w:hint="eastAsia"/>
                <w:sz w:val="18"/>
                <w:szCs w:val="20"/>
                <w:highlight w:val="none"/>
              </w:rPr>
              <w:t>2</w:t>
            </w:r>
            <w:r>
              <w:rPr>
                <w:rFonts w:hint="eastAsia"/>
                <w:sz w:val="18"/>
                <w:szCs w:val="20"/>
                <w:highlight w:val="none"/>
                <w:lang w:val="en-US" w:eastAsia="zh-CN"/>
              </w:rPr>
              <w:t>3</w:t>
            </w:r>
          </w:p>
        </w:tc>
        <w:tc>
          <w:tcPr>
            <w:tcW w:w="4340" w:type="dxa"/>
            <w:vAlign w:val="center"/>
          </w:tcPr>
          <w:p>
            <w:pPr>
              <w:spacing w:after="0" w:line="240" w:lineRule="auto"/>
              <w:jc w:val="center"/>
              <w:rPr>
                <w:sz w:val="20"/>
                <w:szCs w:val="21"/>
              </w:rPr>
            </w:pPr>
            <w:r>
              <w:rPr>
                <w:rFonts w:hint="eastAsia"/>
                <w:sz w:val="18"/>
                <w:szCs w:val="20"/>
                <w:highlight w:val="none"/>
                <w:lang w:val="en-US" w:eastAsia="zh-CN"/>
              </w:rPr>
              <w:t>以实践为导向的国际商事调解人才培养创新路径研究</w:t>
            </w:r>
          </w:p>
        </w:tc>
        <w:tc>
          <w:tcPr>
            <w:tcW w:w="1406" w:type="dxa"/>
            <w:vAlign w:val="center"/>
          </w:tcPr>
          <w:p>
            <w:pPr>
              <w:spacing w:after="0" w:line="240" w:lineRule="auto"/>
              <w:jc w:val="center"/>
              <w:rPr>
                <w:sz w:val="20"/>
                <w:szCs w:val="21"/>
              </w:rPr>
            </w:pPr>
            <w:r>
              <w:rPr>
                <w:rFonts w:hint="eastAsia"/>
                <w:sz w:val="18"/>
                <w:szCs w:val="20"/>
                <w:highlight w:val="none"/>
                <w:lang w:val="en-US" w:eastAsia="zh-CN"/>
              </w:rPr>
              <w:t>冯冬冬</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24</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rPr>
              <w:t>24</w:t>
            </w:r>
          </w:p>
        </w:tc>
        <w:tc>
          <w:tcPr>
            <w:tcW w:w="4340" w:type="dxa"/>
            <w:vAlign w:val="center"/>
          </w:tcPr>
          <w:p>
            <w:pPr>
              <w:spacing w:after="0" w:line="240" w:lineRule="auto"/>
              <w:jc w:val="center"/>
              <w:rPr>
                <w:sz w:val="20"/>
                <w:szCs w:val="21"/>
              </w:rPr>
            </w:pPr>
            <w:r>
              <w:rPr>
                <w:rFonts w:hint="eastAsia"/>
                <w:sz w:val="18"/>
                <w:szCs w:val="20"/>
                <w:lang w:val="en-US" w:eastAsia="zh-CN"/>
              </w:rPr>
              <w:t>中国</w:t>
            </w:r>
            <w:r>
              <w:rPr>
                <w:rFonts w:hint="eastAsia"/>
                <w:sz w:val="18"/>
                <w:szCs w:val="20"/>
                <w:lang w:val="en-US" w:eastAsia="zh-CN"/>
              </w:rPr>
              <w:noBreakHyphen/>
            </w:r>
            <w:r>
              <w:rPr>
                <w:rFonts w:hint="eastAsia"/>
                <w:sz w:val="18"/>
                <w:szCs w:val="20"/>
                <w:lang w:val="en-US" w:eastAsia="zh-CN"/>
              </w:rPr>
              <w:t>中亚合作视域下《国际经济法》课程赋能涉外法治教学改革研究</w:t>
            </w:r>
          </w:p>
        </w:tc>
        <w:tc>
          <w:tcPr>
            <w:tcW w:w="1406" w:type="dxa"/>
            <w:vAlign w:val="center"/>
          </w:tcPr>
          <w:p>
            <w:pPr>
              <w:spacing w:after="0" w:line="240" w:lineRule="auto"/>
              <w:jc w:val="center"/>
              <w:rPr>
                <w:sz w:val="20"/>
                <w:szCs w:val="21"/>
              </w:rPr>
            </w:pPr>
            <w:r>
              <w:rPr>
                <w:rFonts w:hint="eastAsia"/>
                <w:sz w:val="18"/>
                <w:szCs w:val="20"/>
                <w:lang w:val="en-US" w:eastAsia="zh-CN"/>
              </w:rPr>
              <w:t>贺小丽</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25</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rPr>
              <w:t>2</w:t>
            </w:r>
            <w:r>
              <w:rPr>
                <w:rFonts w:hint="eastAsia"/>
                <w:sz w:val="18"/>
                <w:szCs w:val="20"/>
                <w:lang w:val="en-US" w:eastAsia="zh-CN"/>
              </w:rPr>
              <w:t>5</w:t>
            </w:r>
          </w:p>
        </w:tc>
        <w:tc>
          <w:tcPr>
            <w:tcW w:w="4340" w:type="dxa"/>
            <w:vAlign w:val="center"/>
          </w:tcPr>
          <w:p>
            <w:pPr>
              <w:spacing w:after="0" w:line="240" w:lineRule="auto"/>
              <w:jc w:val="center"/>
              <w:rPr>
                <w:sz w:val="20"/>
                <w:szCs w:val="21"/>
              </w:rPr>
            </w:pPr>
            <w:r>
              <w:rPr>
                <w:rFonts w:hint="eastAsia"/>
                <w:sz w:val="18"/>
                <w:szCs w:val="20"/>
                <w:lang w:val="en-US" w:eastAsia="zh-CN"/>
              </w:rPr>
              <w:t>《民族团结进步促进法》融入法治文化专业研究生思政课程与课程思政协同育人机制研究</w:t>
            </w:r>
          </w:p>
        </w:tc>
        <w:tc>
          <w:tcPr>
            <w:tcW w:w="1406" w:type="dxa"/>
            <w:vAlign w:val="center"/>
          </w:tcPr>
          <w:p>
            <w:pPr>
              <w:spacing w:after="0" w:line="240" w:lineRule="auto"/>
              <w:jc w:val="center"/>
              <w:rPr>
                <w:sz w:val="20"/>
                <w:szCs w:val="21"/>
              </w:rPr>
            </w:pPr>
            <w:r>
              <w:rPr>
                <w:rFonts w:hint="eastAsia"/>
                <w:sz w:val="18"/>
                <w:szCs w:val="20"/>
                <w:lang w:val="en-US" w:eastAsia="zh-CN"/>
              </w:rPr>
              <w:t>马 亮</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26</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26</w:t>
            </w:r>
          </w:p>
        </w:tc>
        <w:tc>
          <w:tcPr>
            <w:tcW w:w="4340" w:type="dxa"/>
            <w:vAlign w:val="center"/>
          </w:tcPr>
          <w:p>
            <w:pPr>
              <w:spacing w:after="0" w:line="240" w:lineRule="auto"/>
              <w:jc w:val="center"/>
              <w:rPr>
                <w:sz w:val="20"/>
                <w:szCs w:val="21"/>
              </w:rPr>
            </w:pPr>
            <w:r>
              <w:rPr>
                <w:rFonts w:hint="eastAsia"/>
                <w:sz w:val="18"/>
                <w:szCs w:val="20"/>
                <w:lang w:val="en-US" w:eastAsia="zh-CN"/>
              </w:rPr>
              <w:t>以科研为导向的《国家安全法学》课程教学：规范阐释、理论提升与实践运用</w:t>
            </w:r>
          </w:p>
        </w:tc>
        <w:tc>
          <w:tcPr>
            <w:tcW w:w="1406" w:type="dxa"/>
            <w:vAlign w:val="center"/>
          </w:tcPr>
          <w:p>
            <w:pPr>
              <w:spacing w:after="0" w:line="240" w:lineRule="auto"/>
              <w:jc w:val="center"/>
              <w:rPr>
                <w:sz w:val="20"/>
                <w:szCs w:val="21"/>
              </w:rPr>
            </w:pPr>
            <w:r>
              <w:rPr>
                <w:rFonts w:hint="eastAsia"/>
                <w:sz w:val="18"/>
                <w:szCs w:val="20"/>
                <w:lang w:val="en-US" w:eastAsia="zh-CN"/>
              </w:rPr>
              <w:t>王 林</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827" w:type="dxa"/>
            <w:vAlign w:val="center"/>
          </w:tcPr>
          <w:p>
            <w:pPr>
              <w:spacing w:after="0" w:line="240" w:lineRule="auto"/>
              <w:jc w:val="center"/>
              <w:rPr>
                <w:sz w:val="20"/>
                <w:szCs w:val="21"/>
              </w:rPr>
            </w:pPr>
            <w:r>
              <w:rPr>
                <w:rFonts w:hint="eastAsia"/>
                <w:sz w:val="18"/>
                <w:szCs w:val="20"/>
              </w:rPr>
              <w:t>27</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27</w:t>
            </w:r>
          </w:p>
        </w:tc>
        <w:tc>
          <w:tcPr>
            <w:tcW w:w="4340" w:type="dxa"/>
            <w:vAlign w:val="center"/>
          </w:tcPr>
          <w:p>
            <w:pPr>
              <w:spacing w:after="0" w:line="240" w:lineRule="auto"/>
              <w:jc w:val="center"/>
              <w:rPr>
                <w:sz w:val="20"/>
                <w:szCs w:val="21"/>
              </w:rPr>
            </w:pPr>
            <w:r>
              <w:rPr>
                <w:rFonts w:hint="eastAsia"/>
                <w:sz w:val="18"/>
                <w:szCs w:val="20"/>
                <w:lang w:val="en-US" w:eastAsia="zh-CN"/>
              </w:rPr>
              <w:t>人工智能赋能下国家安全法治方向研究生跨学科培养模式创新与复合型人才评价体系构建研究与实践</w:t>
            </w:r>
          </w:p>
        </w:tc>
        <w:tc>
          <w:tcPr>
            <w:tcW w:w="1406" w:type="dxa"/>
            <w:vAlign w:val="center"/>
          </w:tcPr>
          <w:p>
            <w:pPr>
              <w:spacing w:after="0" w:line="240" w:lineRule="auto"/>
              <w:jc w:val="center"/>
              <w:rPr>
                <w:sz w:val="20"/>
                <w:szCs w:val="21"/>
              </w:rPr>
            </w:pPr>
            <w:r>
              <w:rPr>
                <w:rFonts w:hint="eastAsia"/>
                <w:sz w:val="18"/>
                <w:szCs w:val="20"/>
                <w:lang w:val="en-US" w:eastAsia="zh-CN"/>
              </w:rPr>
              <w:t>李 明</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28</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28</w:t>
            </w:r>
          </w:p>
        </w:tc>
        <w:tc>
          <w:tcPr>
            <w:tcW w:w="4340" w:type="dxa"/>
            <w:vAlign w:val="center"/>
          </w:tcPr>
          <w:p>
            <w:pPr>
              <w:spacing w:after="0" w:line="240" w:lineRule="auto"/>
              <w:jc w:val="center"/>
              <w:rPr>
                <w:sz w:val="20"/>
                <w:szCs w:val="21"/>
              </w:rPr>
            </w:pPr>
            <w:r>
              <w:rPr>
                <w:rFonts w:hint="eastAsia"/>
                <w:sz w:val="18"/>
                <w:szCs w:val="20"/>
                <w:lang w:val="en-US" w:eastAsia="zh-CN"/>
              </w:rPr>
              <w:t>习近平法治思想引领法学研究生毕业论文写作</w:t>
            </w:r>
          </w:p>
        </w:tc>
        <w:tc>
          <w:tcPr>
            <w:tcW w:w="1406" w:type="dxa"/>
            <w:vAlign w:val="center"/>
          </w:tcPr>
          <w:p>
            <w:pPr>
              <w:spacing w:after="0" w:line="240" w:lineRule="auto"/>
              <w:jc w:val="center"/>
              <w:rPr>
                <w:sz w:val="20"/>
                <w:szCs w:val="21"/>
              </w:rPr>
            </w:pPr>
            <w:r>
              <w:rPr>
                <w:rFonts w:hint="eastAsia"/>
                <w:sz w:val="18"/>
                <w:szCs w:val="20"/>
                <w:lang w:val="en-US" w:eastAsia="zh-CN"/>
              </w:rPr>
              <w:t>齐弋博</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29</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29</w:t>
            </w:r>
          </w:p>
        </w:tc>
        <w:tc>
          <w:tcPr>
            <w:tcW w:w="4340" w:type="dxa"/>
            <w:vAlign w:val="center"/>
          </w:tcPr>
          <w:p>
            <w:pPr>
              <w:spacing w:after="0" w:line="240" w:lineRule="auto"/>
              <w:jc w:val="center"/>
              <w:rPr>
                <w:sz w:val="20"/>
                <w:szCs w:val="21"/>
              </w:rPr>
            </w:pPr>
            <w:r>
              <w:rPr>
                <w:rFonts w:hint="eastAsia"/>
                <w:sz w:val="18"/>
                <w:szCs w:val="20"/>
                <w:lang w:val="en-US" w:eastAsia="zh-CN"/>
              </w:rPr>
              <w:t>习近平法治思想融入《国家安全治理与非传统安全》专题课程思政教学路径研究</w:t>
            </w:r>
          </w:p>
        </w:tc>
        <w:tc>
          <w:tcPr>
            <w:tcW w:w="1406" w:type="dxa"/>
            <w:vAlign w:val="center"/>
          </w:tcPr>
          <w:p>
            <w:pPr>
              <w:spacing w:after="0" w:line="240" w:lineRule="auto"/>
              <w:jc w:val="center"/>
              <w:rPr>
                <w:sz w:val="20"/>
                <w:szCs w:val="21"/>
              </w:rPr>
            </w:pPr>
            <w:r>
              <w:rPr>
                <w:rFonts w:hint="eastAsia"/>
                <w:sz w:val="18"/>
                <w:szCs w:val="20"/>
                <w:lang w:val="en-US" w:eastAsia="zh-CN"/>
              </w:rPr>
              <w:t>张 敏</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827" w:type="dxa"/>
            <w:vAlign w:val="center"/>
          </w:tcPr>
          <w:p>
            <w:pPr>
              <w:spacing w:after="0" w:line="240" w:lineRule="auto"/>
              <w:jc w:val="center"/>
              <w:rPr>
                <w:sz w:val="20"/>
                <w:szCs w:val="21"/>
              </w:rPr>
            </w:pPr>
            <w:r>
              <w:rPr>
                <w:rFonts w:hint="eastAsia"/>
                <w:sz w:val="18"/>
                <w:szCs w:val="20"/>
              </w:rPr>
              <w:t>30</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30</w:t>
            </w:r>
          </w:p>
        </w:tc>
        <w:tc>
          <w:tcPr>
            <w:tcW w:w="4340" w:type="dxa"/>
            <w:vAlign w:val="center"/>
          </w:tcPr>
          <w:p>
            <w:pPr>
              <w:spacing w:after="0" w:line="240" w:lineRule="auto"/>
              <w:jc w:val="center"/>
              <w:rPr>
                <w:sz w:val="20"/>
                <w:szCs w:val="21"/>
              </w:rPr>
            </w:pPr>
            <w:r>
              <w:rPr>
                <w:rFonts w:hint="eastAsia"/>
                <w:sz w:val="18"/>
                <w:szCs w:val="20"/>
                <w:lang w:val="en-US" w:eastAsia="zh-CN"/>
              </w:rPr>
              <w:t>人工智能赋能研究生批判性思维能力提升的机制与路径研究</w:t>
            </w:r>
          </w:p>
        </w:tc>
        <w:tc>
          <w:tcPr>
            <w:tcW w:w="1406" w:type="dxa"/>
            <w:vAlign w:val="center"/>
          </w:tcPr>
          <w:p>
            <w:pPr>
              <w:spacing w:after="0" w:line="240" w:lineRule="auto"/>
              <w:jc w:val="center"/>
              <w:rPr>
                <w:sz w:val="20"/>
                <w:szCs w:val="21"/>
              </w:rPr>
            </w:pPr>
            <w:r>
              <w:rPr>
                <w:rFonts w:hint="eastAsia"/>
                <w:sz w:val="18"/>
                <w:szCs w:val="20"/>
                <w:lang w:val="en-US" w:eastAsia="zh-CN"/>
              </w:rPr>
              <w:t>庞兆丰</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31</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31</w:t>
            </w:r>
          </w:p>
        </w:tc>
        <w:tc>
          <w:tcPr>
            <w:tcW w:w="4340" w:type="dxa"/>
            <w:vAlign w:val="center"/>
          </w:tcPr>
          <w:p>
            <w:pPr>
              <w:spacing w:after="0" w:line="240" w:lineRule="auto"/>
              <w:jc w:val="center"/>
              <w:rPr>
                <w:sz w:val="20"/>
                <w:szCs w:val="21"/>
              </w:rPr>
            </w:pPr>
            <w:r>
              <w:rPr>
                <w:rFonts w:hint="eastAsia"/>
                <w:sz w:val="18"/>
                <w:szCs w:val="20"/>
                <w:lang w:val="en-US" w:eastAsia="zh-CN"/>
              </w:rPr>
              <w:t>政治学研究生“一体两翼六维”成果导向的课程教学改革研究—以《中国政治思想专题》为例</w:t>
            </w:r>
          </w:p>
        </w:tc>
        <w:tc>
          <w:tcPr>
            <w:tcW w:w="1406" w:type="dxa"/>
            <w:vAlign w:val="center"/>
          </w:tcPr>
          <w:p>
            <w:pPr>
              <w:spacing w:after="0" w:line="240" w:lineRule="auto"/>
              <w:jc w:val="center"/>
              <w:rPr>
                <w:sz w:val="20"/>
                <w:szCs w:val="21"/>
              </w:rPr>
            </w:pPr>
            <w:r>
              <w:rPr>
                <w:rFonts w:hint="eastAsia"/>
                <w:sz w:val="18"/>
                <w:szCs w:val="20"/>
                <w:lang w:val="en-US" w:eastAsia="zh-CN"/>
              </w:rPr>
              <w:t>王伟勤</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32</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32</w:t>
            </w:r>
          </w:p>
        </w:tc>
        <w:tc>
          <w:tcPr>
            <w:tcW w:w="4340" w:type="dxa"/>
            <w:vAlign w:val="center"/>
          </w:tcPr>
          <w:p>
            <w:pPr>
              <w:spacing w:after="0" w:line="240" w:lineRule="auto"/>
              <w:jc w:val="center"/>
              <w:rPr>
                <w:sz w:val="20"/>
                <w:szCs w:val="21"/>
              </w:rPr>
            </w:pPr>
            <w:r>
              <w:rPr>
                <w:rFonts w:hint="eastAsia"/>
                <w:sz w:val="18"/>
                <w:szCs w:val="20"/>
                <w:lang w:val="en-US" w:eastAsia="zh-CN"/>
              </w:rPr>
              <w:t>数智时代导学共同体赋能马克思主义理论研究生科研创新能力提升研究</w:t>
            </w:r>
          </w:p>
        </w:tc>
        <w:tc>
          <w:tcPr>
            <w:tcW w:w="1406" w:type="dxa"/>
            <w:vAlign w:val="center"/>
          </w:tcPr>
          <w:p>
            <w:pPr>
              <w:spacing w:after="0" w:line="240" w:lineRule="auto"/>
              <w:jc w:val="center"/>
              <w:rPr>
                <w:sz w:val="20"/>
                <w:szCs w:val="21"/>
              </w:rPr>
            </w:pPr>
            <w:r>
              <w:rPr>
                <w:rFonts w:hint="eastAsia"/>
                <w:sz w:val="18"/>
                <w:szCs w:val="20"/>
                <w:lang w:val="en-US" w:eastAsia="zh-CN"/>
              </w:rPr>
              <w:t>李伟弟</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jc w:val="center"/>
        </w:trPr>
        <w:tc>
          <w:tcPr>
            <w:tcW w:w="827" w:type="dxa"/>
            <w:vAlign w:val="center"/>
          </w:tcPr>
          <w:p>
            <w:pPr>
              <w:spacing w:after="0" w:line="240" w:lineRule="auto"/>
              <w:jc w:val="center"/>
              <w:rPr>
                <w:sz w:val="20"/>
                <w:szCs w:val="21"/>
              </w:rPr>
            </w:pPr>
            <w:r>
              <w:rPr>
                <w:rFonts w:hint="eastAsia"/>
                <w:sz w:val="18"/>
                <w:szCs w:val="20"/>
              </w:rPr>
              <w:t>33</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33</w:t>
            </w:r>
          </w:p>
        </w:tc>
        <w:tc>
          <w:tcPr>
            <w:tcW w:w="4340" w:type="dxa"/>
            <w:vAlign w:val="center"/>
          </w:tcPr>
          <w:p>
            <w:pPr>
              <w:spacing w:after="0" w:line="240" w:lineRule="auto"/>
              <w:jc w:val="center"/>
              <w:rPr>
                <w:sz w:val="20"/>
                <w:szCs w:val="21"/>
              </w:rPr>
            </w:pPr>
            <w:r>
              <w:rPr>
                <w:rFonts w:hint="eastAsia"/>
                <w:sz w:val="18"/>
                <w:szCs w:val="20"/>
                <w:lang w:val="en-US" w:eastAsia="zh-CN"/>
              </w:rPr>
              <w:t>《马克思主义中国化社会发展理论专题研究》思政课程与教学改革机制创新驱动研究生交叉学科培养模式研究</w:t>
            </w:r>
          </w:p>
        </w:tc>
        <w:tc>
          <w:tcPr>
            <w:tcW w:w="1406" w:type="dxa"/>
            <w:vAlign w:val="center"/>
          </w:tcPr>
          <w:p>
            <w:pPr>
              <w:spacing w:after="0" w:line="240" w:lineRule="auto"/>
              <w:jc w:val="center"/>
              <w:rPr>
                <w:sz w:val="20"/>
                <w:szCs w:val="21"/>
              </w:rPr>
            </w:pPr>
            <w:r>
              <w:rPr>
                <w:rFonts w:hint="eastAsia"/>
                <w:sz w:val="18"/>
                <w:szCs w:val="20"/>
                <w:lang w:val="en-US" w:eastAsia="zh-CN"/>
              </w:rPr>
              <w:t>徐子棉</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827" w:type="dxa"/>
            <w:vAlign w:val="center"/>
          </w:tcPr>
          <w:p>
            <w:pPr>
              <w:spacing w:after="0" w:line="240" w:lineRule="auto"/>
              <w:jc w:val="center"/>
              <w:rPr>
                <w:sz w:val="20"/>
                <w:szCs w:val="21"/>
              </w:rPr>
            </w:pPr>
            <w:r>
              <w:rPr>
                <w:rFonts w:hint="eastAsia"/>
                <w:sz w:val="18"/>
                <w:szCs w:val="20"/>
              </w:rPr>
              <w:t>34</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34</w:t>
            </w:r>
          </w:p>
        </w:tc>
        <w:tc>
          <w:tcPr>
            <w:tcW w:w="4340" w:type="dxa"/>
            <w:vAlign w:val="center"/>
          </w:tcPr>
          <w:p>
            <w:pPr>
              <w:spacing w:after="0" w:line="240" w:lineRule="auto"/>
              <w:jc w:val="center"/>
              <w:rPr>
                <w:sz w:val="20"/>
                <w:szCs w:val="21"/>
              </w:rPr>
            </w:pPr>
            <w:r>
              <w:rPr>
                <w:rFonts w:hint="eastAsia"/>
                <w:sz w:val="18"/>
                <w:szCs w:val="20"/>
                <w:lang w:val="en-US" w:eastAsia="zh-CN"/>
              </w:rPr>
              <w:t>深度学习视域下高校研究生思政课专题教学问题链设计与应用优化研究</w:t>
            </w:r>
          </w:p>
        </w:tc>
        <w:tc>
          <w:tcPr>
            <w:tcW w:w="1406" w:type="dxa"/>
            <w:vAlign w:val="center"/>
          </w:tcPr>
          <w:p>
            <w:pPr>
              <w:spacing w:after="0" w:line="240" w:lineRule="auto"/>
              <w:jc w:val="center"/>
              <w:rPr>
                <w:sz w:val="20"/>
                <w:szCs w:val="21"/>
              </w:rPr>
            </w:pPr>
            <w:r>
              <w:rPr>
                <w:rFonts w:hint="eastAsia"/>
                <w:sz w:val="18"/>
                <w:szCs w:val="20"/>
                <w:lang w:val="en-US" w:eastAsia="zh-CN"/>
              </w:rPr>
              <w:t>刘 超</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35</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35</w:t>
            </w:r>
          </w:p>
        </w:tc>
        <w:tc>
          <w:tcPr>
            <w:tcW w:w="4340" w:type="dxa"/>
            <w:vAlign w:val="center"/>
          </w:tcPr>
          <w:p>
            <w:pPr>
              <w:spacing w:after="0" w:line="240" w:lineRule="auto"/>
              <w:jc w:val="center"/>
              <w:rPr>
                <w:sz w:val="20"/>
                <w:szCs w:val="21"/>
              </w:rPr>
            </w:pPr>
            <w:r>
              <w:rPr>
                <w:rFonts w:hint="eastAsia"/>
                <w:sz w:val="18"/>
                <w:szCs w:val="20"/>
                <w:lang w:val="en-US" w:eastAsia="zh-CN"/>
              </w:rPr>
              <w:t>人机协同视域下马克思主义理论学科研究生智能教学模式的构建与实践研究</w:t>
            </w:r>
          </w:p>
        </w:tc>
        <w:tc>
          <w:tcPr>
            <w:tcW w:w="1406" w:type="dxa"/>
            <w:vAlign w:val="center"/>
          </w:tcPr>
          <w:p>
            <w:pPr>
              <w:spacing w:after="0" w:line="240" w:lineRule="auto"/>
              <w:jc w:val="center"/>
              <w:rPr>
                <w:sz w:val="20"/>
                <w:szCs w:val="21"/>
              </w:rPr>
            </w:pPr>
            <w:r>
              <w:rPr>
                <w:rFonts w:hint="eastAsia"/>
                <w:sz w:val="18"/>
                <w:szCs w:val="20"/>
                <w:lang w:val="en-US" w:eastAsia="zh-CN"/>
              </w:rPr>
              <w:t>门 超</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36</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rPr>
              <w:t>3</w:t>
            </w:r>
            <w:r>
              <w:rPr>
                <w:rFonts w:hint="eastAsia"/>
                <w:sz w:val="18"/>
                <w:szCs w:val="20"/>
                <w:lang w:val="en-US" w:eastAsia="zh-CN"/>
              </w:rPr>
              <w:t>6</w:t>
            </w:r>
          </w:p>
        </w:tc>
        <w:tc>
          <w:tcPr>
            <w:tcW w:w="4340" w:type="dxa"/>
            <w:vAlign w:val="center"/>
          </w:tcPr>
          <w:p>
            <w:pPr>
              <w:spacing w:after="0" w:line="240" w:lineRule="auto"/>
              <w:jc w:val="center"/>
              <w:rPr>
                <w:sz w:val="20"/>
                <w:szCs w:val="21"/>
              </w:rPr>
            </w:pPr>
            <w:r>
              <w:rPr>
                <w:rFonts w:hint="eastAsia"/>
                <w:sz w:val="18"/>
                <w:szCs w:val="20"/>
                <w:lang w:val="en-US" w:eastAsia="zh-CN"/>
              </w:rPr>
              <w:t>算法时代研究生文化主体性培育的教学路径研究</w:t>
            </w:r>
          </w:p>
        </w:tc>
        <w:tc>
          <w:tcPr>
            <w:tcW w:w="1406" w:type="dxa"/>
            <w:vAlign w:val="center"/>
          </w:tcPr>
          <w:p>
            <w:pPr>
              <w:spacing w:after="0" w:line="240" w:lineRule="auto"/>
              <w:jc w:val="center"/>
              <w:rPr>
                <w:sz w:val="20"/>
                <w:szCs w:val="21"/>
              </w:rPr>
            </w:pPr>
            <w:r>
              <w:rPr>
                <w:rFonts w:hint="eastAsia"/>
                <w:sz w:val="18"/>
                <w:szCs w:val="20"/>
                <w:lang w:val="en-US" w:eastAsia="zh-CN"/>
              </w:rPr>
              <w:t>雷艳妮</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37</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37</w:t>
            </w:r>
          </w:p>
        </w:tc>
        <w:tc>
          <w:tcPr>
            <w:tcW w:w="4340" w:type="dxa"/>
            <w:vAlign w:val="center"/>
          </w:tcPr>
          <w:p>
            <w:pPr>
              <w:spacing w:after="0" w:line="240" w:lineRule="auto"/>
              <w:jc w:val="center"/>
              <w:rPr>
                <w:sz w:val="20"/>
                <w:szCs w:val="21"/>
              </w:rPr>
            </w:pPr>
            <w:r>
              <w:rPr>
                <w:rFonts w:hint="eastAsia"/>
                <w:sz w:val="18"/>
                <w:szCs w:val="20"/>
                <w:lang w:val="en-US" w:eastAsia="zh-CN"/>
              </w:rPr>
              <w:t>产教融合视域下法学研究生文书检验实训课程建设研究</w:t>
            </w:r>
          </w:p>
        </w:tc>
        <w:tc>
          <w:tcPr>
            <w:tcW w:w="1406" w:type="dxa"/>
            <w:vAlign w:val="center"/>
          </w:tcPr>
          <w:p>
            <w:pPr>
              <w:spacing w:after="0" w:line="240" w:lineRule="auto"/>
              <w:jc w:val="center"/>
              <w:rPr>
                <w:sz w:val="20"/>
                <w:szCs w:val="21"/>
              </w:rPr>
            </w:pPr>
            <w:r>
              <w:rPr>
                <w:rFonts w:hint="eastAsia"/>
                <w:sz w:val="18"/>
                <w:szCs w:val="20"/>
                <w:lang w:val="en-US" w:eastAsia="zh-CN"/>
              </w:rPr>
              <w:t>卫燕茹</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38</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38</w:t>
            </w:r>
          </w:p>
        </w:tc>
        <w:tc>
          <w:tcPr>
            <w:tcW w:w="4340" w:type="dxa"/>
            <w:vAlign w:val="center"/>
          </w:tcPr>
          <w:p>
            <w:pPr>
              <w:spacing w:after="0" w:line="240" w:lineRule="auto"/>
              <w:jc w:val="center"/>
              <w:rPr>
                <w:sz w:val="20"/>
                <w:szCs w:val="21"/>
              </w:rPr>
            </w:pPr>
            <w:r>
              <w:rPr>
                <w:rFonts w:hint="eastAsia"/>
                <w:sz w:val="18"/>
                <w:szCs w:val="20"/>
                <w:lang w:val="en-US" w:eastAsia="zh-CN"/>
              </w:rPr>
              <w:t>“法律-法医学”双视角下的多学科整合式教学改革——以《法医学》课程为例</w:t>
            </w:r>
          </w:p>
        </w:tc>
        <w:tc>
          <w:tcPr>
            <w:tcW w:w="1406" w:type="dxa"/>
            <w:vAlign w:val="center"/>
          </w:tcPr>
          <w:p>
            <w:pPr>
              <w:spacing w:after="0" w:line="240" w:lineRule="auto"/>
              <w:jc w:val="center"/>
              <w:rPr>
                <w:sz w:val="20"/>
                <w:szCs w:val="21"/>
              </w:rPr>
            </w:pPr>
            <w:r>
              <w:rPr>
                <w:rFonts w:hint="eastAsia"/>
                <w:sz w:val="18"/>
                <w:szCs w:val="20"/>
                <w:lang w:val="en-US" w:eastAsia="zh-CN"/>
              </w:rPr>
              <w:t>赵 娜</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39</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39</w:t>
            </w:r>
          </w:p>
        </w:tc>
        <w:tc>
          <w:tcPr>
            <w:tcW w:w="4340" w:type="dxa"/>
            <w:vAlign w:val="center"/>
          </w:tcPr>
          <w:p>
            <w:pPr>
              <w:spacing w:after="0" w:line="240" w:lineRule="auto"/>
              <w:jc w:val="center"/>
              <w:rPr>
                <w:sz w:val="20"/>
                <w:szCs w:val="21"/>
              </w:rPr>
            </w:pPr>
            <w:r>
              <w:rPr>
                <w:rFonts w:hint="eastAsia"/>
                <w:sz w:val="18"/>
                <w:szCs w:val="20"/>
                <w:lang w:val="en-US" w:eastAsia="zh-CN"/>
              </w:rPr>
              <w:t>AI 时代的研究生心理健康教育与积极心理培育研究</w:t>
            </w:r>
          </w:p>
        </w:tc>
        <w:tc>
          <w:tcPr>
            <w:tcW w:w="1406" w:type="dxa"/>
            <w:vAlign w:val="center"/>
          </w:tcPr>
          <w:p>
            <w:pPr>
              <w:spacing w:after="0" w:line="240" w:lineRule="auto"/>
              <w:jc w:val="center"/>
              <w:rPr>
                <w:sz w:val="20"/>
                <w:szCs w:val="21"/>
              </w:rPr>
            </w:pPr>
            <w:r>
              <w:rPr>
                <w:rFonts w:hint="eastAsia"/>
                <w:sz w:val="18"/>
                <w:szCs w:val="20"/>
                <w:lang w:val="en-US" w:eastAsia="zh-CN"/>
              </w:rPr>
              <w:t>赵晓风</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40</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40</w:t>
            </w:r>
          </w:p>
        </w:tc>
        <w:tc>
          <w:tcPr>
            <w:tcW w:w="4340" w:type="dxa"/>
            <w:vAlign w:val="center"/>
          </w:tcPr>
          <w:p>
            <w:pPr>
              <w:spacing w:after="0" w:line="240" w:lineRule="auto"/>
              <w:jc w:val="center"/>
              <w:rPr>
                <w:sz w:val="20"/>
                <w:szCs w:val="21"/>
              </w:rPr>
            </w:pPr>
            <w:r>
              <w:rPr>
                <w:rFonts w:hint="eastAsia"/>
                <w:sz w:val="18"/>
                <w:szCs w:val="20"/>
                <w:lang w:val="en-US" w:eastAsia="zh-CN"/>
              </w:rPr>
              <w:t>习近平法治思想融入“侦查基础”课程教学的理论逻辑与实践路径研究</w:t>
            </w:r>
          </w:p>
        </w:tc>
        <w:tc>
          <w:tcPr>
            <w:tcW w:w="1406" w:type="dxa"/>
            <w:vAlign w:val="center"/>
          </w:tcPr>
          <w:p>
            <w:pPr>
              <w:spacing w:after="0" w:line="240" w:lineRule="auto"/>
              <w:jc w:val="center"/>
              <w:rPr>
                <w:sz w:val="20"/>
                <w:szCs w:val="21"/>
              </w:rPr>
            </w:pPr>
            <w:r>
              <w:rPr>
                <w:rFonts w:hint="eastAsia"/>
                <w:sz w:val="18"/>
                <w:szCs w:val="20"/>
                <w:lang w:val="en-US" w:eastAsia="zh-CN"/>
              </w:rPr>
              <w:t>谭秀云</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41</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41</w:t>
            </w:r>
          </w:p>
        </w:tc>
        <w:tc>
          <w:tcPr>
            <w:tcW w:w="4340" w:type="dxa"/>
            <w:vAlign w:val="center"/>
          </w:tcPr>
          <w:p>
            <w:pPr>
              <w:spacing w:after="0" w:line="240" w:lineRule="auto"/>
              <w:jc w:val="center"/>
              <w:rPr>
                <w:sz w:val="20"/>
                <w:szCs w:val="21"/>
              </w:rPr>
            </w:pPr>
            <w:r>
              <w:rPr>
                <w:rFonts w:hint="eastAsia"/>
                <w:sz w:val="18"/>
                <w:szCs w:val="20"/>
                <w:lang w:val="en-US" w:eastAsia="zh-CN"/>
              </w:rPr>
              <w:t>大语言模型赋能下研究生学术英语写作阶梯式培养路径研究</w:t>
            </w:r>
          </w:p>
        </w:tc>
        <w:tc>
          <w:tcPr>
            <w:tcW w:w="1406" w:type="dxa"/>
            <w:vAlign w:val="center"/>
          </w:tcPr>
          <w:p>
            <w:pPr>
              <w:spacing w:after="0" w:line="240" w:lineRule="auto"/>
              <w:jc w:val="center"/>
              <w:rPr>
                <w:sz w:val="20"/>
                <w:szCs w:val="21"/>
              </w:rPr>
            </w:pPr>
            <w:r>
              <w:rPr>
                <w:rFonts w:hint="eastAsia"/>
                <w:sz w:val="18"/>
                <w:szCs w:val="20"/>
                <w:lang w:val="en-US" w:eastAsia="zh-CN"/>
              </w:rPr>
              <w:t>付 巧</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42</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42</w:t>
            </w:r>
          </w:p>
        </w:tc>
        <w:tc>
          <w:tcPr>
            <w:tcW w:w="4340" w:type="dxa"/>
            <w:vAlign w:val="center"/>
          </w:tcPr>
          <w:p>
            <w:pPr>
              <w:spacing w:after="0" w:line="240" w:lineRule="auto"/>
              <w:jc w:val="center"/>
              <w:rPr>
                <w:sz w:val="20"/>
                <w:szCs w:val="21"/>
              </w:rPr>
            </w:pPr>
            <w:r>
              <w:rPr>
                <w:rFonts w:hint="eastAsia"/>
                <w:sz w:val="18"/>
                <w:szCs w:val="20"/>
                <w:lang w:val="en-US" w:eastAsia="zh-CN"/>
              </w:rPr>
              <w:t>国际传播视域下基于POA的政法院校研究生法治叙事能力培养教学研究</w:t>
            </w:r>
          </w:p>
        </w:tc>
        <w:tc>
          <w:tcPr>
            <w:tcW w:w="1406" w:type="dxa"/>
            <w:vAlign w:val="center"/>
          </w:tcPr>
          <w:p>
            <w:pPr>
              <w:spacing w:after="0" w:line="240" w:lineRule="auto"/>
              <w:jc w:val="center"/>
              <w:rPr>
                <w:sz w:val="20"/>
                <w:szCs w:val="21"/>
              </w:rPr>
            </w:pPr>
            <w:r>
              <w:rPr>
                <w:rFonts w:hint="eastAsia"/>
                <w:sz w:val="18"/>
                <w:szCs w:val="20"/>
                <w:lang w:val="en-US" w:eastAsia="zh-CN"/>
              </w:rPr>
              <w:t>李 雪</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jc w:val="center"/>
        </w:trPr>
        <w:tc>
          <w:tcPr>
            <w:tcW w:w="827" w:type="dxa"/>
            <w:vAlign w:val="center"/>
          </w:tcPr>
          <w:p>
            <w:pPr>
              <w:spacing w:after="0" w:line="240" w:lineRule="auto"/>
              <w:jc w:val="center"/>
              <w:rPr>
                <w:sz w:val="20"/>
                <w:szCs w:val="21"/>
              </w:rPr>
            </w:pPr>
            <w:r>
              <w:rPr>
                <w:rFonts w:hint="eastAsia"/>
                <w:sz w:val="18"/>
                <w:szCs w:val="20"/>
              </w:rPr>
              <w:t>43</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43</w:t>
            </w:r>
          </w:p>
        </w:tc>
        <w:tc>
          <w:tcPr>
            <w:tcW w:w="4340" w:type="dxa"/>
            <w:vAlign w:val="center"/>
          </w:tcPr>
          <w:p>
            <w:pPr>
              <w:spacing w:after="0" w:line="240" w:lineRule="auto"/>
              <w:jc w:val="center"/>
              <w:rPr>
                <w:sz w:val="20"/>
                <w:szCs w:val="21"/>
              </w:rPr>
            </w:pPr>
            <w:r>
              <w:rPr>
                <w:rFonts w:hint="eastAsia"/>
                <w:sz w:val="18"/>
                <w:szCs w:val="20"/>
                <w:lang w:val="en-US" w:eastAsia="zh-CN"/>
              </w:rPr>
              <w:t>从“学习者”到“研究者”：AI辅助学术写作中研究生学习行为与能力培养研究</w:t>
            </w:r>
          </w:p>
        </w:tc>
        <w:tc>
          <w:tcPr>
            <w:tcW w:w="1406" w:type="dxa"/>
            <w:vAlign w:val="center"/>
          </w:tcPr>
          <w:p>
            <w:pPr>
              <w:spacing w:after="0" w:line="240" w:lineRule="auto"/>
              <w:jc w:val="center"/>
              <w:rPr>
                <w:sz w:val="20"/>
                <w:szCs w:val="21"/>
              </w:rPr>
            </w:pPr>
            <w:r>
              <w:rPr>
                <w:rFonts w:hint="eastAsia"/>
                <w:sz w:val="18"/>
                <w:szCs w:val="20"/>
                <w:lang w:val="en-US" w:eastAsia="zh-CN"/>
              </w:rPr>
              <w:t>闫玉荣</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sz w:val="20"/>
                <w:szCs w:val="21"/>
              </w:rPr>
            </w:pPr>
            <w:r>
              <w:rPr>
                <w:rFonts w:hint="eastAsia"/>
                <w:sz w:val="18"/>
                <w:szCs w:val="20"/>
              </w:rPr>
              <w:t>44</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rPr>
              <w:t>44</w:t>
            </w:r>
          </w:p>
        </w:tc>
        <w:tc>
          <w:tcPr>
            <w:tcW w:w="4340" w:type="dxa"/>
            <w:vAlign w:val="center"/>
          </w:tcPr>
          <w:p>
            <w:pPr>
              <w:spacing w:after="0" w:line="240" w:lineRule="auto"/>
              <w:jc w:val="center"/>
              <w:rPr>
                <w:sz w:val="20"/>
                <w:szCs w:val="21"/>
              </w:rPr>
            </w:pPr>
            <w:r>
              <w:rPr>
                <w:rFonts w:hint="eastAsia"/>
                <w:sz w:val="18"/>
                <w:szCs w:val="20"/>
                <w:lang w:val="en-US" w:eastAsia="zh-CN"/>
              </w:rPr>
              <w:t>可控的赋能：人工智能背景下硕士研究生学位论文的质量保障与提升路径研究</w:t>
            </w:r>
          </w:p>
        </w:tc>
        <w:tc>
          <w:tcPr>
            <w:tcW w:w="1406" w:type="dxa"/>
            <w:vAlign w:val="center"/>
          </w:tcPr>
          <w:p>
            <w:pPr>
              <w:spacing w:after="0" w:line="240" w:lineRule="auto"/>
              <w:jc w:val="center"/>
              <w:rPr>
                <w:sz w:val="20"/>
                <w:szCs w:val="21"/>
              </w:rPr>
            </w:pPr>
            <w:r>
              <w:rPr>
                <w:rFonts w:hint="eastAsia"/>
                <w:sz w:val="18"/>
                <w:szCs w:val="20"/>
                <w:lang w:val="en-US" w:eastAsia="zh-CN"/>
              </w:rPr>
              <w:t>胡 凯</w:t>
            </w:r>
          </w:p>
        </w:tc>
        <w:tc>
          <w:tcPr>
            <w:tcW w:w="1244" w:type="dxa"/>
            <w:vAlign w:val="center"/>
          </w:tcPr>
          <w:p>
            <w:pPr>
              <w:spacing w:after="0" w:line="240" w:lineRule="auto"/>
              <w:jc w:val="center"/>
              <w:rPr>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45</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45</w:t>
            </w:r>
          </w:p>
        </w:tc>
        <w:tc>
          <w:tcPr>
            <w:tcW w:w="4340" w:type="dxa"/>
            <w:vAlign w:val="center"/>
          </w:tcPr>
          <w:p>
            <w:pPr>
              <w:spacing w:after="0" w:line="240" w:lineRule="auto"/>
              <w:jc w:val="center"/>
              <w:rPr>
                <w:rFonts w:hint="eastAsia"/>
                <w:sz w:val="20"/>
                <w:szCs w:val="21"/>
              </w:rPr>
            </w:pPr>
            <w:r>
              <w:rPr>
                <w:rFonts w:hint="eastAsia"/>
                <w:sz w:val="18"/>
                <w:szCs w:val="20"/>
                <w:lang w:val="en-US" w:eastAsia="zh-CN"/>
              </w:rPr>
              <w:t>教育数字化转型背景下数字叙事赋能〈影像叙事理论〉新形态课程建设与实践研究</w:t>
            </w:r>
          </w:p>
        </w:tc>
        <w:tc>
          <w:tcPr>
            <w:tcW w:w="1406" w:type="dxa"/>
            <w:vAlign w:val="center"/>
          </w:tcPr>
          <w:p>
            <w:pPr>
              <w:spacing w:after="0" w:line="240" w:lineRule="auto"/>
              <w:jc w:val="center"/>
              <w:rPr>
                <w:rFonts w:hint="eastAsia"/>
                <w:sz w:val="20"/>
                <w:szCs w:val="21"/>
              </w:rPr>
            </w:pPr>
            <w:r>
              <w:rPr>
                <w:rFonts w:hint="eastAsia"/>
                <w:sz w:val="18"/>
                <w:szCs w:val="20"/>
                <w:lang w:val="en-US" w:eastAsia="zh-CN"/>
              </w:rPr>
              <w:t>熊 芳</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46</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rFonts w:hint="eastAsia"/>
                <w:sz w:val="18"/>
                <w:szCs w:val="20"/>
              </w:rPr>
              <w:t>0</w:t>
            </w:r>
            <w:r>
              <w:rPr>
                <w:rFonts w:hint="eastAsia"/>
                <w:sz w:val="18"/>
                <w:szCs w:val="20"/>
                <w:lang w:val="en-US" w:eastAsia="zh-CN"/>
              </w:rPr>
              <w:t>46</w:t>
            </w:r>
          </w:p>
        </w:tc>
        <w:tc>
          <w:tcPr>
            <w:tcW w:w="4340" w:type="dxa"/>
            <w:vAlign w:val="center"/>
          </w:tcPr>
          <w:p>
            <w:pPr>
              <w:spacing w:after="0" w:line="240" w:lineRule="auto"/>
              <w:jc w:val="center"/>
              <w:rPr>
                <w:rFonts w:hint="eastAsia"/>
                <w:sz w:val="20"/>
                <w:szCs w:val="21"/>
              </w:rPr>
            </w:pPr>
            <w:r>
              <w:rPr>
                <w:rFonts w:hint="eastAsia"/>
                <w:sz w:val="18"/>
                <w:szCs w:val="20"/>
                <w:lang w:val="en-US" w:eastAsia="zh-CN"/>
              </w:rPr>
              <w:t>研习型教学驱动的多学科交叉与融合创新人才培养模式研究</w:t>
            </w:r>
          </w:p>
        </w:tc>
        <w:tc>
          <w:tcPr>
            <w:tcW w:w="1406" w:type="dxa"/>
            <w:vAlign w:val="center"/>
          </w:tcPr>
          <w:p>
            <w:pPr>
              <w:spacing w:after="0" w:line="240" w:lineRule="auto"/>
              <w:jc w:val="center"/>
              <w:rPr>
                <w:rFonts w:hint="eastAsia"/>
                <w:sz w:val="20"/>
                <w:szCs w:val="21"/>
              </w:rPr>
            </w:pPr>
            <w:r>
              <w:rPr>
                <w:rFonts w:hint="eastAsia"/>
                <w:sz w:val="18"/>
                <w:szCs w:val="20"/>
                <w:lang w:val="en-US" w:eastAsia="zh-CN"/>
              </w:rPr>
              <w:t>王 静</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47</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47</w:t>
            </w:r>
          </w:p>
        </w:tc>
        <w:tc>
          <w:tcPr>
            <w:tcW w:w="4340" w:type="dxa"/>
            <w:vAlign w:val="center"/>
          </w:tcPr>
          <w:p>
            <w:pPr>
              <w:spacing w:after="0" w:line="240" w:lineRule="auto"/>
              <w:jc w:val="center"/>
              <w:rPr>
                <w:rFonts w:hint="eastAsia"/>
                <w:sz w:val="20"/>
                <w:szCs w:val="21"/>
              </w:rPr>
            </w:pPr>
            <w:r>
              <w:rPr>
                <w:rFonts w:hint="eastAsia"/>
                <w:sz w:val="18"/>
                <w:szCs w:val="20"/>
                <w:lang w:val="en-US" w:eastAsia="zh-CN"/>
              </w:rPr>
              <w:t>新时代审计专硕人才培养质量及评价问题研究</w:t>
            </w:r>
          </w:p>
        </w:tc>
        <w:tc>
          <w:tcPr>
            <w:tcW w:w="1406" w:type="dxa"/>
            <w:vAlign w:val="center"/>
          </w:tcPr>
          <w:p>
            <w:pPr>
              <w:spacing w:after="0" w:line="240" w:lineRule="auto"/>
              <w:jc w:val="center"/>
              <w:rPr>
                <w:rFonts w:hint="eastAsia"/>
                <w:sz w:val="20"/>
                <w:szCs w:val="21"/>
              </w:rPr>
            </w:pPr>
            <w:r>
              <w:rPr>
                <w:rFonts w:hint="eastAsia"/>
                <w:sz w:val="18"/>
                <w:szCs w:val="20"/>
                <w:lang w:val="en-US" w:eastAsia="zh-CN"/>
              </w:rPr>
              <w:t>刘维政</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48</w:t>
            </w:r>
          </w:p>
        </w:tc>
        <w:tc>
          <w:tcPr>
            <w:tcW w:w="1420" w:type="dxa"/>
            <w:vAlign w:val="center"/>
          </w:tcPr>
          <w:p>
            <w:pPr>
              <w:spacing w:after="0" w:line="240" w:lineRule="auto"/>
              <w:jc w:val="center"/>
              <w:rPr>
                <w:sz w:val="20"/>
                <w:szCs w:val="21"/>
              </w:rPr>
            </w:pPr>
            <w:r>
              <w:rPr>
                <w:sz w:val="18"/>
                <w:szCs w:val="20"/>
                <w:highlight w:val="none"/>
              </w:rPr>
              <w:t>YJZC</w:t>
            </w:r>
            <w:r>
              <w:rPr>
                <w:rFonts w:hint="eastAsia"/>
                <w:sz w:val="18"/>
                <w:szCs w:val="20"/>
                <w:highlight w:val="none"/>
                <w:lang w:eastAsia="zh-CN"/>
              </w:rPr>
              <w:t>2026</w:t>
            </w:r>
            <w:r>
              <w:rPr>
                <w:rFonts w:hint="eastAsia"/>
                <w:sz w:val="18"/>
                <w:szCs w:val="20"/>
                <w:highlight w:val="none"/>
              </w:rPr>
              <w:t>0</w:t>
            </w:r>
            <w:r>
              <w:rPr>
                <w:rFonts w:hint="eastAsia"/>
                <w:sz w:val="18"/>
                <w:szCs w:val="20"/>
                <w:highlight w:val="none"/>
                <w:lang w:val="en-US" w:eastAsia="zh-CN"/>
              </w:rPr>
              <w:t>48</w:t>
            </w:r>
          </w:p>
        </w:tc>
        <w:tc>
          <w:tcPr>
            <w:tcW w:w="4340" w:type="dxa"/>
            <w:vAlign w:val="center"/>
          </w:tcPr>
          <w:p>
            <w:pPr>
              <w:spacing w:after="0" w:line="240" w:lineRule="auto"/>
              <w:jc w:val="center"/>
              <w:rPr>
                <w:rFonts w:hint="eastAsia"/>
                <w:sz w:val="20"/>
                <w:szCs w:val="21"/>
              </w:rPr>
            </w:pPr>
            <w:r>
              <w:rPr>
                <w:rFonts w:hint="eastAsia"/>
                <w:sz w:val="18"/>
                <w:szCs w:val="20"/>
                <w:highlight w:val="none"/>
                <w:lang w:val="en-US" w:eastAsia="zh-CN"/>
              </w:rPr>
              <w:t>习近平法治思想融入高校课程思政的实践路径研究——以审计专业为例</w:t>
            </w:r>
          </w:p>
        </w:tc>
        <w:tc>
          <w:tcPr>
            <w:tcW w:w="1406" w:type="dxa"/>
            <w:vAlign w:val="center"/>
          </w:tcPr>
          <w:p>
            <w:pPr>
              <w:spacing w:after="0" w:line="240" w:lineRule="auto"/>
              <w:jc w:val="center"/>
              <w:rPr>
                <w:rFonts w:hint="eastAsia"/>
                <w:sz w:val="20"/>
                <w:szCs w:val="21"/>
              </w:rPr>
            </w:pPr>
            <w:r>
              <w:rPr>
                <w:rFonts w:hint="eastAsia"/>
                <w:sz w:val="18"/>
                <w:szCs w:val="20"/>
                <w:highlight w:val="none"/>
                <w:lang w:val="en-US" w:eastAsia="zh-CN"/>
              </w:rPr>
              <w:t>李丹丹</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49</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rPr>
              <w:t>4</w:t>
            </w:r>
            <w:r>
              <w:rPr>
                <w:rFonts w:hint="eastAsia"/>
                <w:sz w:val="18"/>
                <w:szCs w:val="20"/>
                <w:lang w:val="en-US" w:eastAsia="zh-CN"/>
              </w:rPr>
              <w:t>9</w:t>
            </w:r>
          </w:p>
        </w:tc>
        <w:tc>
          <w:tcPr>
            <w:tcW w:w="4340" w:type="dxa"/>
            <w:vAlign w:val="center"/>
          </w:tcPr>
          <w:p>
            <w:pPr>
              <w:spacing w:after="0" w:line="240" w:lineRule="auto"/>
              <w:jc w:val="center"/>
              <w:rPr>
                <w:rFonts w:hint="eastAsia"/>
                <w:sz w:val="20"/>
                <w:szCs w:val="21"/>
              </w:rPr>
            </w:pPr>
            <w:r>
              <w:rPr>
                <w:rFonts w:hint="eastAsia"/>
                <w:sz w:val="18"/>
                <w:szCs w:val="20"/>
                <w:lang w:val="en-US" w:eastAsia="zh-CN"/>
              </w:rPr>
              <w:t>能力提升导向下法单位校社会保障硕士研究生课程体系重构与机制创新研究</w:t>
            </w:r>
          </w:p>
        </w:tc>
        <w:tc>
          <w:tcPr>
            <w:tcW w:w="1406" w:type="dxa"/>
            <w:vAlign w:val="center"/>
          </w:tcPr>
          <w:p>
            <w:pPr>
              <w:spacing w:after="0" w:line="240" w:lineRule="auto"/>
              <w:jc w:val="center"/>
              <w:rPr>
                <w:rFonts w:hint="eastAsia"/>
                <w:sz w:val="20"/>
                <w:szCs w:val="21"/>
              </w:rPr>
            </w:pPr>
            <w:r>
              <w:rPr>
                <w:rFonts w:hint="eastAsia"/>
                <w:sz w:val="18"/>
                <w:szCs w:val="20"/>
                <w:lang w:val="en-US" w:eastAsia="zh-CN"/>
              </w:rPr>
              <w:t>李文琦</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50</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50</w:t>
            </w:r>
          </w:p>
        </w:tc>
        <w:tc>
          <w:tcPr>
            <w:tcW w:w="4340" w:type="dxa"/>
            <w:vAlign w:val="center"/>
          </w:tcPr>
          <w:p>
            <w:pPr>
              <w:spacing w:after="0" w:line="240" w:lineRule="auto"/>
              <w:jc w:val="center"/>
              <w:rPr>
                <w:rFonts w:hint="eastAsia"/>
                <w:sz w:val="20"/>
                <w:szCs w:val="21"/>
              </w:rPr>
            </w:pPr>
            <w:r>
              <w:rPr>
                <w:rFonts w:hint="eastAsia"/>
                <w:sz w:val="18"/>
                <w:szCs w:val="20"/>
                <w:lang w:val="en-US" w:eastAsia="zh-CN"/>
              </w:rPr>
              <w:t>审法融合特色视角下审计专硕核心能力图谱构建与培养路径研究</w:t>
            </w:r>
          </w:p>
        </w:tc>
        <w:tc>
          <w:tcPr>
            <w:tcW w:w="1406" w:type="dxa"/>
            <w:vAlign w:val="center"/>
          </w:tcPr>
          <w:p>
            <w:pPr>
              <w:spacing w:after="0" w:line="240" w:lineRule="auto"/>
              <w:jc w:val="center"/>
              <w:rPr>
                <w:rFonts w:hint="eastAsia"/>
                <w:sz w:val="20"/>
                <w:szCs w:val="21"/>
              </w:rPr>
            </w:pPr>
            <w:r>
              <w:rPr>
                <w:rFonts w:hint="eastAsia"/>
                <w:sz w:val="18"/>
                <w:szCs w:val="20"/>
                <w:lang w:val="en-US" w:eastAsia="zh-CN"/>
              </w:rPr>
              <w:t>党琳静</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atLeast"/>
          <w:jc w:val="center"/>
        </w:trPr>
        <w:tc>
          <w:tcPr>
            <w:tcW w:w="827" w:type="dxa"/>
            <w:vAlign w:val="center"/>
          </w:tcPr>
          <w:p>
            <w:pPr>
              <w:spacing w:after="0" w:line="240" w:lineRule="auto"/>
              <w:jc w:val="center"/>
              <w:rPr>
                <w:rFonts w:hint="eastAsia"/>
                <w:sz w:val="20"/>
                <w:szCs w:val="21"/>
              </w:rPr>
            </w:pPr>
            <w:r>
              <w:rPr>
                <w:rFonts w:hint="eastAsia"/>
                <w:sz w:val="18"/>
                <w:szCs w:val="20"/>
                <w:lang w:val="en-US" w:eastAsia="zh-CN"/>
              </w:rPr>
              <w:t>51</w:t>
            </w:r>
          </w:p>
        </w:tc>
        <w:tc>
          <w:tcPr>
            <w:tcW w:w="1420" w:type="dxa"/>
            <w:vAlign w:val="center"/>
          </w:tcPr>
          <w:p>
            <w:pPr>
              <w:spacing w:after="0" w:line="240" w:lineRule="auto"/>
              <w:jc w:val="center"/>
              <w:rPr>
                <w:sz w:val="20"/>
                <w:szCs w:val="21"/>
              </w:rPr>
            </w:pPr>
            <w:r>
              <w:rPr>
                <w:sz w:val="18"/>
                <w:szCs w:val="20"/>
              </w:rPr>
              <w:t>YJZC</w:t>
            </w:r>
            <w:r>
              <w:rPr>
                <w:rFonts w:hint="eastAsia"/>
                <w:sz w:val="18"/>
                <w:szCs w:val="20"/>
                <w:lang w:eastAsia="zh-CN"/>
              </w:rPr>
              <w:t>2026</w:t>
            </w:r>
            <w:r>
              <w:rPr>
                <w:sz w:val="18"/>
                <w:szCs w:val="20"/>
              </w:rPr>
              <w:t>0</w:t>
            </w:r>
            <w:r>
              <w:rPr>
                <w:rFonts w:hint="eastAsia"/>
                <w:sz w:val="18"/>
                <w:szCs w:val="20"/>
                <w:lang w:val="en-US" w:eastAsia="zh-CN"/>
              </w:rPr>
              <w:t>51</w:t>
            </w:r>
          </w:p>
        </w:tc>
        <w:tc>
          <w:tcPr>
            <w:tcW w:w="4340" w:type="dxa"/>
            <w:vAlign w:val="center"/>
          </w:tcPr>
          <w:p>
            <w:pPr>
              <w:spacing w:after="0" w:line="240" w:lineRule="auto"/>
              <w:jc w:val="center"/>
              <w:rPr>
                <w:rFonts w:hint="eastAsia"/>
                <w:sz w:val="20"/>
                <w:szCs w:val="21"/>
              </w:rPr>
            </w:pPr>
            <w:r>
              <w:rPr>
                <w:rFonts w:hint="eastAsia"/>
                <w:sz w:val="18"/>
                <w:szCs w:val="20"/>
                <w:lang w:val="en-US" w:eastAsia="zh-CN"/>
              </w:rPr>
              <w:t>健康第一与立德树人双目标下研究生体育教学改革与实践研究</w:t>
            </w:r>
          </w:p>
        </w:tc>
        <w:tc>
          <w:tcPr>
            <w:tcW w:w="1406" w:type="dxa"/>
            <w:vAlign w:val="center"/>
          </w:tcPr>
          <w:p>
            <w:pPr>
              <w:spacing w:after="0" w:line="240" w:lineRule="auto"/>
              <w:jc w:val="center"/>
              <w:rPr>
                <w:rFonts w:hint="eastAsia"/>
                <w:sz w:val="20"/>
                <w:szCs w:val="21"/>
              </w:rPr>
            </w:pPr>
            <w:r>
              <w:rPr>
                <w:rFonts w:hint="eastAsia"/>
                <w:sz w:val="18"/>
                <w:szCs w:val="20"/>
                <w:lang w:val="en-US" w:eastAsia="zh-CN"/>
              </w:rPr>
              <w:t>翟水保</w:t>
            </w:r>
          </w:p>
        </w:tc>
        <w:tc>
          <w:tcPr>
            <w:tcW w:w="1244" w:type="dxa"/>
            <w:vAlign w:val="center"/>
          </w:tcPr>
          <w:p>
            <w:pPr>
              <w:spacing w:after="0" w:line="240" w:lineRule="auto"/>
              <w:jc w:val="center"/>
              <w:rPr>
                <w:rFonts w:hint="eastAsia"/>
                <w:sz w:val="20"/>
                <w:szCs w:val="21"/>
              </w:rPr>
            </w:pPr>
            <w:r>
              <w:rPr>
                <w:rFonts w:hint="eastAsia"/>
                <w:sz w:val="18"/>
                <w:szCs w:val="20"/>
              </w:rPr>
              <w:t>自筹项目</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冬青黑体简体中文">
    <w:panose1 w:val="020B0300000000000000"/>
    <w:charset w:val="86"/>
    <w:family w:val="auto"/>
    <w:pitch w:val="default"/>
    <w:sig w:usb0="A00002BF" w:usb1="1ACF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DD0257"/>
    <w:rsid w:val="FFDD0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2026-10-23T16:22:00Z</dcterms:created>
  <dc:creator>莹莹</dc:creator>
  <cp:lastModifiedBy>莹莹</cp:lastModifiedBy>
  <dcterms:modified xsi:type="dcterms:W3CDTF">2026-10-23T16:23:21Z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E44D7ABE27BE74405419DB6A091184D5_41</vt:lpwstr>
  </property>
</Properties>
</file>