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680BF2">
      <w:pPr>
        <w:spacing w:line="560" w:lineRule="exact"/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bidi="ar"/>
        </w:rPr>
        <w:t>附件</w:t>
      </w:r>
    </w:p>
    <w:p w14:paraId="6520601F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000000"/>
          <w:kern w:val="0"/>
          <w:sz w:val="32"/>
          <w:szCs w:val="32"/>
          <w:shd w:val="clear" w:color="auto" w:fill="FFFFFF"/>
          <w:lang w:bidi="ar"/>
        </w:rPr>
        <w:t>研究生选课注意事项及操作流程</w:t>
      </w:r>
    </w:p>
    <w:p w14:paraId="3580B9FC">
      <w:pPr>
        <w:spacing w:line="560" w:lineRule="exact"/>
        <w:ind w:firstLine="643" w:firstLineChars="200"/>
        <w:rPr>
          <w:rFonts w:ascii="仿宋_GB2312" w:hAnsi="仿宋_GB2312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bidi="ar"/>
        </w:rPr>
        <w:t>一、选课注意事项</w:t>
      </w:r>
      <w:bookmarkStart w:id="0" w:name="_GoBack"/>
      <w:bookmarkEnd w:id="0"/>
    </w:p>
    <w:p w14:paraId="38910950">
      <w:pPr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（一）选课分为预选、正选二个阶段。预选阶段不限制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单个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课堂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的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选课人数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正选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时原则上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将关闭选课人数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未达最低人数要求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的课堂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eastAsia="zh-CN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正选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时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每个课堂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根据教室情况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都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会有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选课人数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上限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，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选课人数过多的课堂，将采取系统随机抽签选取最终上课学生名单，或征得任课教师同意后根据教室情况增开课堂。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正选阶段结束后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eastAsia="zh-CN" w:bidi="ar"/>
        </w:rPr>
        <w:t>，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学生须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记录自己的课表。</w:t>
      </w:r>
    </w:p>
    <w:p w14:paraId="0D12FF24">
      <w:pPr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（二）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学生的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所有必修课和专业限选课已经预置，不需要选择，且不得删除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eastAsia="zh-CN" w:bidi="ar"/>
        </w:rPr>
        <w:t>（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如学生发现存在必修课和限选课没有提前预置，请及时联系培养科85385437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eastAsia="zh-CN" w:bidi="ar"/>
        </w:rPr>
        <w:t>）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。</w:t>
      </w:r>
    </w:p>
    <w:p w14:paraId="23D201D9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（三）为保证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每位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学生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均达到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培养方案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的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学分要求，选课前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请学生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认真查看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本专业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培养方案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关于学分的具体规定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。</w:t>
      </w:r>
    </w:p>
    <w:p w14:paraId="37471E72">
      <w:pPr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color w:val="0000FF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（四）选课人数不足30人的公共选修课和法律硕士专业学位选修课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，原则上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停开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eastAsia="zh-CN" w:bidi="ar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其他专业学位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研究生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选修课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eastAsia="zh-CN" w:bidi="ar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若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选课人数低于本专业人数1/2的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eastAsia="zh-CN" w:bidi="ar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原则上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停开，请学院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加强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对学生选课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统筹引导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工作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。</w:t>
      </w:r>
    </w:p>
    <w:p w14:paraId="74A4C8E1">
      <w:pPr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（五）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需慎重选课，完成选课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程序后才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可参加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该门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课程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学习考核，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成绩合格后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取得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该门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课程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学分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eastAsia="zh-CN" w:bidi="ar"/>
          <w14:textFill>
            <w14:solidFill>
              <w14:schemeClr w14:val="tx1"/>
            </w14:solidFill>
          </w14:textFill>
        </w:rPr>
        <w:t>；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若正式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选定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该门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课程后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擅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不参加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该课程课堂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教学活动的，依据《西北政法大学学生违纪处分规定》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val="en-US" w:eastAsia="zh-CN" w:bidi="ar"/>
          <w14:textFill>
            <w14:solidFill>
              <w14:schemeClr w14:val="tx1"/>
            </w14:solidFill>
          </w14:textFill>
        </w:rPr>
        <w:t>相关规定予以</w:t>
      </w:r>
      <w:r>
        <w:rPr>
          <w:rFonts w:hint="eastAsia" w:ascii="仿宋_GB2312" w:hAnsi="仿宋_GB2312" w:eastAsia="仿宋_GB2312" w:cs="仿宋_GB2312"/>
          <w:b w:val="0"/>
          <w:color w:val="000000" w:themeColor="text1"/>
          <w:kern w:val="0"/>
          <w:sz w:val="32"/>
          <w:szCs w:val="32"/>
          <w:shd w:val="clear" w:color="auto" w:fill="FFFFFF"/>
          <w:lang w:bidi="ar"/>
          <w14:textFill>
            <w14:solidFill>
              <w14:schemeClr w14:val="tx1"/>
            </w14:solidFill>
          </w14:textFill>
        </w:rPr>
        <w:t>处理。</w:t>
      </w:r>
    </w:p>
    <w:p w14:paraId="796FB574">
      <w:pPr>
        <w:spacing w:line="560" w:lineRule="exact"/>
        <w:ind w:firstLine="643" w:firstLineChars="200"/>
        <w:rPr>
          <w:rFonts w:ascii="仿宋_GB2312" w:hAnsi="仿宋_GB2312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shd w:val="clear" w:color="auto" w:fill="FFFFFF"/>
          <w:lang w:bidi="ar"/>
        </w:rPr>
        <w:t>二、选课流程</w:t>
      </w:r>
    </w:p>
    <w:p w14:paraId="01E0055B">
      <w:pPr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（一）登录西北政法大学研究生院网站，点击页面最下面“研究生综合管理信息系统学生登录”，使用学号登录，初始密码为身份证号后六位XBZF.com</w:t>
      </w:r>
    </w:p>
    <w:p w14:paraId="0D0014E9">
      <w:pPr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（学生登录研究生综合管理信息系统建议使用谷歌浏览器，可通过PC端和移动端登录，首选PC端登录选课。）</w:t>
      </w:r>
    </w:p>
    <w:p w14:paraId="15840E9F">
      <w:pPr>
        <w:spacing w:line="560" w:lineRule="exact"/>
        <w:ind w:firstLine="640" w:firstLineChars="200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（二）点击“培养”，点击“我的课程”页面。点击选课按钮（图1），进入课程查询页面（图2 ）。</w:t>
      </w:r>
    </w:p>
    <w:p w14:paraId="3234C191">
      <w:r>
        <w:drawing>
          <wp:inline distT="0" distB="0" distL="0" distR="0">
            <wp:extent cx="5274310" cy="4666615"/>
            <wp:effectExtent l="0" t="0" r="2540" b="635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8AB89">
      <w:pPr>
        <w:ind w:firstLine="640" w:firstLineChars="200"/>
        <w:jc w:val="center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（图1）</w:t>
      </w:r>
    </w:p>
    <w:p w14:paraId="02B781F2">
      <w:pPr>
        <w:jc w:val="center"/>
        <w:rPr>
          <w:rFonts w:hint="default" w:eastAsia="宋体"/>
          <w:lang w:val="en-US" w:eastAsia="zh-CN"/>
        </w:rPr>
      </w:pPr>
      <w:r>
        <w:drawing>
          <wp:inline distT="0" distB="0" distL="0" distR="0">
            <wp:extent cx="5372100" cy="1394460"/>
            <wp:effectExtent l="0" t="0" r="0" b="15240"/>
            <wp:docPr id="12" name="图片 1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DBE9E">
      <w:pPr>
        <w:ind w:firstLine="640" w:firstLineChars="200"/>
        <w:jc w:val="center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（图2）</w:t>
      </w:r>
    </w:p>
    <w:p w14:paraId="5DBA2296">
      <w:pPr>
        <w:ind w:firstLine="640" w:firstLineChars="200"/>
        <w:jc w:val="left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（三）预选阶段，点击班级后的“选课”按钮，系统提示选课成功（图1）。 “我的课程”页面该课程显示“待处理”状态（图2）。</w:t>
      </w:r>
    </w:p>
    <w:p w14:paraId="0A3B9B96">
      <w:pPr>
        <w:ind w:firstLine="640" w:firstLineChars="200"/>
        <w:jc w:val="left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预选阶段结束后。若学生选中该课程，该课程后显示“正在修读”状态（图3）</w:t>
      </w:r>
    </w:p>
    <w:p w14:paraId="0EFD4530">
      <w:pPr>
        <w:jc w:val="center"/>
      </w:pPr>
      <w:r>
        <w:drawing>
          <wp:inline distT="0" distB="0" distL="0" distR="0">
            <wp:extent cx="5901690" cy="4182110"/>
            <wp:effectExtent l="0" t="0" r="3810" b="8890"/>
            <wp:docPr id="17" name="图片 17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8016" cy="418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9C880">
      <w:pPr>
        <w:ind w:firstLine="640" w:firstLineChars="200"/>
        <w:jc w:val="center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（图1）</w:t>
      </w:r>
    </w:p>
    <w:p w14:paraId="6AF59DB6">
      <w:pPr>
        <w:jc w:val="center"/>
      </w:pPr>
      <w:r>
        <w:drawing>
          <wp:inline distT="0" distB="0" distL="0" distR="0">
            <wp:extent cx="5416550" cy="4460240"/>
            <wp:effectExtent l="0" t="0" r="12700" b="16510"/>
            <wp:docPr id="19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2635" cy="446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FCDC">
      <w:pPr>
        <w:ind w:firstLine="640" w:firstLineChars="200"/>
        <w:jc w:val="center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（图2）</w:t>
      </w:r>
    </w:p>
    <w:p w14:paraId="5C4EB35F">
      <w:pPr>
        <w:jc w:val="center"/>
      </w:pPr>
      <w:r>
        <w:drawing>
          <wp:inline distT="0" distB="0" distL="0" distR="0">
            <wp:extent cx="5458460" cy="3691890"/>
            <wp:effectExtent l="0" t="0" r="8890" b="3810"/>
            <wp:docPr id="20" name="图片 20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9182" cy="371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667B6">
      <w:pPr>
        <w:ind w:firstLine="640" w:firstLineChars="200"/>
        <w:jc w:val="center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（图3）</w:t>
      </w:r>
    </w:p>
    <w:p w14:paraId="4147225F">
      <w:pPr>
        <w:ind w:firstLine="640" w:firstLineChars="200"/>
        <w:jc w:val="left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说明：学生点击选课按钮，系统会进行课程冲突检测（图4）。</w:t>
      </w:r>
    </w:p>
    <w:p w14:paraId="15A56C69">
      <w:pPr>
        <w:jc w:val="center"/>
      </w:pPr>
      <w:r>
        <w:drawing>
          <wp:inline distT="0" distB="0" distL="0" distR="0">
            <wp:extent cx="5274310" cy="2233295"/>
            <wp:effectExtent l="0" t="0" r="2540" b="14605"/>
            <wp:docPr id="5" name="图片 5" descr="图形用户界面, 文本, 应用程序, Word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Word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1A114">
      <w:pPr>
        <w:ind w:firstLine="640" w:firstLineChars="200"/>
        <w:jc w:val="center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（图4）</w:t>
      </w:r>
    </w:p>
    <w:p w14:paraId="0CC70B69">
      <w:p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说明：显示为“必修”的课程，不需学生进行选课操作，也无法进行选课操作(图1)。</w:t>
      </w:r>
    </w:p>
    <w:p w14:paraId="52D4B6D2">
      <w:r>
        <w:drawing>
          <wp:inline distT="0" distB="0" distL="0" distR="0">
            <wp:extent cx="5274310" cy="4072255"/>
            <wp:effectExtent l="0" t="0" r="2540" b="4445"/>
            <wp:docPr id="25" name="图片 2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91E48">
      <w:pPr>
        <w:ind w:firstLine="640" w:firstLineChars="200"/>
        <w:jc w:val="center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（图1）</w:t>
      </w:r>
    </w:p>
    <w:p w14:paraId="13C85B9E">
      <w:pPr>
        <w:ind w:firstLine="640" w:firstLineChars="200"/>
        <w:jc w:val="left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（四）退课操作。点击课程后的“退换课”按钮，进入详情页面点击“退课按钮”（图1）。系统提示退课成功（图2）。</w:t>
      </w:r>
    </w:p>
    <w:p w14:paraId="2737B1C1">
      <w:r>
        <w:drawing>
          <wp:inline distT="0" distB="0" distL="0" distR="0">
            <wp:extent cx="5499735" cy="4384675"/>
            <wp:effectExtent l="0" t="0" r="5715" b="15875"/>
            <wp:docPr id="21" name="图片 2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7079" cy="439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CADAF">
      <w:pPr>
        <w:ind w:firstLine="640" w:firstLineChars="200"/>
        <w:jc w:val="center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（图1）</w:t>
      </w:r>
    </w:p>
    <w:p w14:paraId="04FA03FF">
      <w:r>
        <w:drawing>
          <wp:inline distT="0" distB="0" distL="0" distR="0">
            <wp:extent cx="5534660" cy="2292350"/>
            <wp:effectExtent l="0" t="0" r="8890" b="12700"/>
            <wp:docPr id="22" name="图片 22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7408" cy="229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75CE">
      <w:pPr>
        <w:ind w:firstLine="640" w:firstLineChars="200"/>
        <w:jc w:val="center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（图2）</w:t>
      </w:r>
    </w:p>
    <w:p w14:paraId="6CE2D29F">
      <w:pPr>
        <w:ind w:firstLine="640" w:firstLineChars="200"/>
        <w:jc w:val="left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（五）预选阶段结束后，若未选中，可在正选阶段进行重新选课操作。选课操作与预选选课操作流程相同。正选阶段点击选课按钮，即可选中课程。</w:t>
      </w:r>
    </w:p>
    <w:p w14:paraId="3A54EEF2">
      <w:r>
        <w:drawing>
          <wp:inline distT="0" distB="0" distL="0" distR="0">
            <wp:extent cx="5274310" cy="4318000"/>
            <wp:effectExtent l="0" t="0" r="2540" b="6350"/>
            <wp:docPr id="23" name="图片 23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5DEF">
      <w:pPr>
        <w:ind w:firstLine="640" w:firstLineChars="200"/>
        <w:jc w:val="left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（六）正选阶段，退课操作。正选阶段，退课操作时，系统会验证该课程的“正选阶段班级最低人数”。学生退课时，低于“正选阶段班级最低人数”则不能退课。</w:t>
      </w:r>
    </w:p>
    <w:p w14:paraId="75CF3768">
      <w:pPr>
        <w:jc w:val="left"/>
      </w:pPr>
      <w:r>
        <w:drawing>
          <wp:inline distT="0" distB="0" distL="0" distR="0">
            <wp:extent cx="5539105" cy="4142105"/>
            <wp:effectExtent l="0" t="0" r="4445" b="10795"/>
            <wp:docPr id="24" name="图片 2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0911" cy="4173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C2253">
      <w:pPr>
        <w:ind w:firstLine="640" w:firstLineChars="200"/>
        <w:jc w:val="left"/>
        <w:rPr>
          <w:rFonts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（七）正选阶段完成选课后，查询课表。点击“培养”，再点击“我的课表”页面，输入学年学期查看课表。</w:t>
      </w:r>
    </w:p>
    <w:p w14:paraId="5F129433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055" cy="4014470"/>
            <wp:effectExtent l="0" t="0" r="10795" b="5080"/>
            <wp:docPr id="2" name="图片 2" descr="30a68c447d6f8ec57c0d650c990f9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0a68c447d6f8ec57c0d650c990f9e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0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A246">
      <w:pPr>
        <w:numPr>
          <w:ilvl w:val="0"/>
          <w:numId w:val="0"/>
        </w:numPr>
        <w:ind w:firstLine="640" w:firstLineChars="200"/>
        <w:jc w:val="left"/>
      </w:pP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eastAsia="zh-CN" w:bidi="ar"/>
        </w:rPr>
        <w:t>（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val="en-US" w:eastAsia="zh-CN" w:bidi="ar"/>
        </w:rPr>
        <w:t>八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eastAsia="zh-CN" w:bidi="ar"/>
        </w:rPr>
        <w:t>）</w:t>
      </w:r>
      <w:r>
        <w:rPr>
          <w:rFonts w:hint="eastAsia" w:ascii="仿宋_GB2312" w:hAnsi="仿宋_GB2312" w:eastAsia="仿宋_GB2312" w:cs="仿宋_GB2312"/>
          <w:b w:val="0"/>
          <w:color w:val="000000"/>
          <w:kern w:val="0"/>
          <w:sz w:val="32"/>
          <w:szCs w:val="32"/>
          <w:shd w:val="clear" w:color="auto" w:fill="FFFFFF"/>
          <w:lang w:bidi="ar"/>
        </w:rPr>
        <w:t>查看成绩。成绩录入以后，可在“我的课程”页面查看课程成绩：</w:t>
      </w:r>
      <w:r>
        <w:drawing>
          <wp:inline distT="0" distB="0" distL="0" distR="0">
            <wp:extent cx="5272405" cy="4051935"/>
            <wp:effectExtent l="0" t="0" r="4445" b="5715"/>
            <wp:docPr id="11" name="图片 11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4624" cy="406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61C3">
      <w:pPr>
        <w:jc w:val="left"/>
      </w:pPr>
    </w:p>
    <w:p w14:paraId="561A4D6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816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b/>
      <w:kern w:val="44"/>
      <w:sz w:val="44"/>
      <w:szCs w:val="4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2026-07-03T07:32:15Z</dcterms:created>
  <dc:creator>Administrator</dc:creator>
  <cp:lastModifiedBy>诗薇</cp:lastModifiedBy>
  <dcterms:modified xsi:type="dcterms:W3CDTF">2026-07-03T07:32:47Z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eyJoZGlkIjoiM2Y4ZjM5OTQzY2Y2ZTg2NWMwZmMzMzVjNjk2YzMxZDkiLCJ1c2VySWQiOiI2NzcwMzAyMDQifQ==</vt:lpwstr>
  </property>
  <property fmtid="{D5CDD505-2E9C-101B-9397-08002B2CF9AE}" pid="4" name="ICV">
    <vt:lpwstr>B25B9601471344C29A3C7FD66DB4C6EF_12</vt:lpwstr>
  </property>
</Properties>
</file>